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41190C">
      <w:pPr>
        <w:spacing w:before="380" w:after="140" w:line="288" w:lineRule="auto"/>
        <w:ind w:left="0"/>
        <w:jc w:val="left"/>
        <w:outlineLvl w:val="0"/>
        <w:rPr>
          <w:rFonts w:hint="default" w:ascii="宋体" w:hAnsi="宋体" w:eastAsia="宋体" w:cs="宋体"/>
          <w:b/>
          <w:sz w:val="36"/>
          <w:lang w:val="en-US" w:eastAsia="zh-CN"/>
        </w:rPr>
      </w:pPr>
      <w:bookmarkStart w:id="0" w:name="heading_0"/>
      <w:r>
        <w:rPr>
          <w:rFonts w:hint="eastAsia" w:ascii="宋体" w:hAnsi="宋体" w:eastAsia="宋体" w:cs="宋体"/>
          <w:b/>
          <w:sz w:val="36"/>
        </w:rPr>
        <w:t>一、</w:t>
      </w:r>
      <w:r>
        <w:rPr>
          <w:rFonts w:hint="eastAsia" w:ascii="宋体" w:hAnsi="宋体" w:eastAsia="宋体" w:cs="宋体"/>
          <w:b/>
          <w:sz w:val="36"/>
        </w:rPr>
        <w:t>间歇充气压力抗栓系统</w:t>
      </w:r>
      <w:bookmarkEnd w:id="0"/>
      <w:r>
        <w:rPr>
          <w:rFonts w:hint="eastAsia" w:ascii="宋体" w:hAnsi="宋体" w:eastAsia="宋体" w:cs="宋体"/>
          <w:b/>
          <w:sz w:val="36"/>
          <w:lang w:val="en-US" w:eastAsia="zh-CN"/>
        </w:rPr>
        <w:t>技术要求</w:t>
      </w:r>
    </w:p>
    <w:p w14:paraId="0072BF38">
      <w:pPr>
        <w:numPr>
          <w:ilvl w:val="0"/>
          <w:numId w:val="1"/>
        </w:numPr>
        <w:spacing w:before="120" w:after="120" w:line="288" w:lineRule="auto"/>
        <w:ind w:left="425" w:leftChars="0" w:hanging="425" w:firstLineChars="0"/>
        <w:jc w:val="lef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z w:val="22"/>
        </w:rPr>
        <w:t>设备功能：针对住院患者、重症患者、长期卧床患者，精准开展大腿、小腿、足底多部位VTE预防，促进下肢静脉血液流动，有效降低静脉血栓栓塞症（VTE）发</w:t>
      </w:r>
      <w:r>
        <w:rPr>
          <w:rFonts w:hint="eastAsia" w:ascii="宋体" w:hAnsi="宋体" w:eastAsia="宋体" w:cs="宋体"/>
          <w:color w:val="000000" w:themeColor="text1"/>
          <w:sz w:val="22"/>
          <w14:textFill>
            <w14:solidFill>
              <w14:schemeClr w14:val="tx1"/>
            </w14:solidFill>
          </w14:textFill>
        </w:rPr>
        <w:t>生率，适配临床多场景需求。</w:t>
      </w:r>
    </w:p>
    <w:p w14:paraId="4A035553">
      <w:pPr>
        <w:numPr>
          <w:ilvl w:val="0"/>
          <w:numId w:val="1"/>
        </w:numPr>
        <w:spacing w:before="120" w:after="120" w:line="288" w:lineRule="auto"/>
        <w:ind w:left="425" w:leftChars="0" w:hanging="425" w:firstLineChars="0"/>
        <w:jc w:val="lef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 w:val="22"/>
          <w14:textFill>
            <w14:solidFill>
              <w14:schemeClr w14:val="tx1"/>
            </w14:solidFill>
          </w14:textFill>
        </w:rPr>
        <w:t>★品牌及数据交互要求：设备需与VTE全流程管理软件为同一品牌，实现完整的VTE预防双向数据传输，达成数字化执行、可视化管理闭环</w:t>
      </w:r>
      <w:r>
        <w:rPr>
          <w:rFonts w:hint="eastAsia" w:ascii="宋体" w:hAnsi="宋体" w:eastAsia="宋体" w:cs="宋体"/>
          <w:color w:val="000000" w:themeColor="text1"/>
          <w:sz w:val="22"/>
          <w:lang w:eastAsia="zh-CN"/>
          <w14:textFill>
            <w14:solidFill>
              <w14:schemeClr w14:val="tx1"/>
            </w14:solidFill>
          </w14:textFill>
        </w:rPr>
        <w:t>，</w:t>
      </w:r>
      <w:r>
        <w:rPr>
          <w:rFonts w:hint="eastAsia" w:ascii="宋体" w:hAnsi="宋体" w:eastAsia="宋体" w:cs="宋体"/>
          <w:color w:val="000000" w:themeColor="text1"/>
          <w:sz w:val="22"/>
          <w14:textFill>
            <w14:solidFill>
              <w14:schemeClr w14:val="tx1"/>
            </w14:solidFill>
          </w14:textFill>
        </w:rPr>
        <w:t>设备主机可通过WIFI与VTE物联网系统或VTE管理系统实现数据双向交互，可直接读取VTE系统下达的医嘱数据，同时可向VTE管理系统回写主机预防执行参数（如压力、时长等）</w:t>
      </w:r>
    </w:p>
    <w:p w14:paraId="7D6BB92B">
      <w:pPr>
        <w:numPr>
          <w:ilvl w:val="0"/>
          <w:numId w:val="1"/>
        </w:numPr>
        <w:spacing w:before="120" w:after="120" w:line="288" w:lineRule="auto"/>
        <w:ind w:left="425" w:leftChars="0" w:hanging="425" w:firstLineChars="0"/>
        <w:jc w:val="left"/>
        <w:rPr>
          <w:rFonts w:hint="eastAsia" w:ascii="宋体" w:hAnsi="宋体" w:eastAsia="宋体" w:cs="宋体"/>
        </w:rPr>
      </w:pPr>
      <w:r>
        <w:rPr>
          <w:rFonts w:hint="eastAsia" w:ascii="宋体" w:hAnsi="宋体" w:eastAsia="宋体" w:cs="宋体"/>
          <w:sz w:val="22"/>
        </w:rPr>
        <w:t>压力控制：采用三腔梯度压力设计，每腔压力可独立自行设置；设备联网后，所有运行参数可根据VTE系统下达的医嘱自动调整，无需人工手动设定，提升临床操作效率。</w:t>
      </w:r>
    </w:p>
    <w:p w14:paraId="7DA370A7">
      <w:pPr>
        <w:numPr>
          <w:ilvl w:val="0"/>
          <w:numId w:val="1"/>
        </w:numPr>
        <w:spacing w:before="120" w:after="120" w:line="288" w:lineRule="auto"/>
        <w:ind w:left="425" w:leftChars="0" w:hanging="425" w:firstLineChars="0"/>
        <w:jc w:val="left"/>
        <w:rPr>
          <w:rFonts w:hint="eastAsia" w:ascii="宋体" w:hAnsi="宋体" w:eastAsia="宋体" w:cs="宋体"/>
        </w:rPr>
      </w:pPr>
      <w:r>
        <w:rPr>
          <w:rFonts w:hint="eastAsia" w:ascii="宋体" w:hAnsi="宋体" w:eastAsia="宋体" w:cs="宋体"/>
          <w:sz w:val="22"/>
        </w:rPr>
        <w:t>压力参数：腿部压力可调步长为≤10mmHg，足部压力可调步长为≤20mmHg；全腿、小腿压力调节范围0～80mmHg，足套压力调节范围100～200mmHg，适配不同患者体型及病情需求。</w:t>
      </w:r>
    </w:p>
    <w:p w14:paraId="7514AA4C">
      <w:pPr>
        <w:numPr>
          <w:ilvl w:val="0"/>
          <w:numId w:val="1"/>
        </w:numPr>
        <w:spacing w:before="120" w:after="120" w:line="288" w:lineRule="auto"/>
        <w:ind w:left="425" w:leftChars="0" w:hanging="425" w:firstLineChars="0"/>
        <w:jc w:val="left"/>
        <w:rPr>
          <w:rFonts w:hint="eastAsia" w:ascii="宋体" w:hAnsi="宋体" w:eastAsia="宋体" w:cs="宋体"/>
        </w:rPr>
      </w:pPr>
      <w:r>
        <w:rPr>
          <w:rFonts w:hint="eastAsia" w:ascii="宋体" w:hAnsi="宋体" w:eastAsia="宋体" w:cs="宋体"/>
          <w:sz w:val="22"/>
        </w:rPr>
        <w:t>预防模式：具备双全腿、双小腿、双足部、单腿单足、单全腿单小腿、单腿、单足等多种预防模式，支持双侧肢体（腿部/足部）按不同压力同时进行间歇血栓预防，灵活适配临床各类患者。</w:t>
      </w:r>
    </w:p>
    <w:p w14:paraId="5282DB87">
      <w:pPr>
        <w:numPr>
          <w:ilvl w:val="0"/>
          <w:numId w:val="1"/>
        </w:numPr>
        <w:spacing w:before="120" w:after="120" w:line="288" w:lineRule="auto"/>
        <w:ind w:left="425" w:leftChars="0" w:hanging="425" w:firstLineChars="0"/>
        <w:jc w:val="left"/>
        <w:rPr>
          <w:rFonts w:hint="eastAsia" w:ascii="宋体" w:hAnsi="宋体" w:eastAsia="宋体" w:cs="宋体"/>
        </w:rPr>
      </w:pPr>
      <w:r>
        <w:rPr>
          <w:rFonts w:hint="eastAsia" w:ascii="宋体" w:hAnsi="宋体" w:eastAsia="宋体" w:cs="宋体"/>
          <w:sz w:val="22"/>
        </w:rPr>
        <w:t>运行时长：运行时间0～24小时连续可调，血栓预防治疗最长可持续使用时长≥24小时，完全满足国家血栓防治指南相关要求。</w:t>
      </w:r>
    </w:p>
    <w:p w14:paraId="26EB370C">
      <w:pPr>
        <w:numPr>
          <w:ilvl w:val="0"/>
          <w:numId w:val="1"/>
        </w:numPr>
        <w:spacing w:before="120" w:after="120" w:line="288" w:lineRule="auto"/>
        <w:ind w:left="425" w:leftChars="0" w:hanging="425" w:firstLineChars="0"/>
        <w:jc w:val="left"/>
        <w:rPr>
          <w:rFonts w:hint="eastAsia" w:ascii="宋体" w:hAnsi="宋体" w:eastAsia="宋体" w:cs="宋体"/>
        </w:rPr>
      </w:pPr>
      <w:r>
        <w:rPr>
          <w:rFonts w:hint="eastAsia" w:ascii="宋体" w:hAnsi="宋体" w:eastAsia="宋体" w:cs="宋体"/>
          <w:sz w:val="22"/>
        </w:rPr>
        <w:t>设备</w:t>
      </w:r>
      <w:r>
        <w:rPr>
          <w:rFonts w:hint="eastAsia" w:ascii="宋体" w:hAnsi="宋体" w:eastAsia="宋体" w:cs="宋体"/>
          <w:sz w:val="22"/>
          <w:lang w:val="en-US" w:eastAsia="zh-CN"/>
        </w:rPr>
        <w:t>要求</w:t>
      </w:r>
      <w:r>
        <w:rPr>
          <w:rFonts w:hint="eastAsia" w:ascii="宋体" w:hAnsi="宋体" w:eastAsia="宋体" w:cs="宋体"/>
          <w:sz w:val="22"/>
        </w:rPr>
        <w:t>≥4.</w:t>
      </w:r>
      <w:r>
        <w:rPr>
          <w:rFonts w:hint="eastAsia" w:ascii="宋体" w:hAnsi="宋体" w:eastAsia="宋体" w:cs="宋体"/>
          <w:sz w:val="22"/>
          <w:lang w:val="en-US" w:eastAsia="zh-CN"/>
        </w:rPr>
        <w:t>0</w:t>
      </w:r>
      <w:r>
        <w:rPr>
          <w:rFonts w:hint="eastAsia" w:ascii="宋体" w:hAnsi="宋体" w:eastAsia="宋体" w:cs="宋体"/>
          <w:sz w:val="22"/>
        </w:rPr>
        <w:t>寸彩色液晶触摸屏，全触控操作，无任何实体按键；主机重量≤3Kg，可悬挂于床头。</w:t>
      </w:r>
    </w:p>
    <w:p w14:paraId="2443A2B5">
      <w:pPr>
        <w:numPr>
          <w:ilvl w:val="0"/>
          <w:numId w:val="1"/>
        </w:numPr>
        <w:spacing w:before="120" w:after="120" w:line="288" w:lineRule="auto"/>
        <w:ind w:left="425" w:leftChars="0" w:hanging="425" w:firstLineChars="0"/>
        <w:jc w:val="left"/>
        <w:rPr>
          <w:rFonts w:hint="eastAsia" w:ascii="宋体" w:hAnsi="宋体" w:eastAsia="宋体" w:cs="宋体"/>
        </w:rPr>
      </w:pPr>
      <w:r>
        <w:rPr>
          <w:rFonts w:hint="eastAsia" w:ascii="宋体" w:hAnsi="宋体" w:eastAsia="宋体" w:cs="宋体"/>
          <w:sz w:val="22"/>
        </w:rPr>
        <w:t>★锂电池要求：内置大容量锂电池，连续运行时长≥6小时，待机使用时长≥18小时。</w:t>
      </w:r>
    </w:p>
    <w:p w14:paraId="11FDB67D">
      <w:pPr>
        <w:numPr>
          <w:ilvl w:val="0"/>
          <w:numId w:val="1"/>
        </w:numPr>
        <w:spacing w:before="120" w:after="120" w:line="288" w:lineRule="auto"/>
        <w:ind w:left="425" w:leftChars="0" w:hanging="425" w:firstLineChars="0"/>
        <w:jc w:val="left"/>
        <w:rPr>
          <w:rFonts w:hint="eastAsia" w:ascii="宋体" w:hAnsi="宋体" w:eastAsia="宋体" w:cs="宋体"/>
        </w:rPr>
      </w:pPr>
      <w:r>
        <w:rPr>
          <w:rFonts w:hint="eastAsia" w:ascii="宋体" w:hAnsi="宋体" w:eastAsia="宋体" w:cs="宋体"/>
          <w:sz w:val="22"/>
        </w:rPr>
        <w:t>★主机操作功能：主机屏幕需具备医嘱选择、</w:t>
      </w:r>
      <w:r>
        <w:rPr>
          <w:rFonts w:hint="eastAsia" w:ascii="宋体" w:hAnsi="宋体" w:eastAsia="宋体" w:cs="宋体"/>
          <w:sz w:val="22"/>
          <w:lang w:val="en-US" w:eastAsia="zh-CN"/>
        </w:rPr>
        <w:t>患者床号</w:t>
      </w:r>
      <w:r>
        <w:rPr>
          <w:rFonts w:hint="eastAsia" w:ascii="宋体" w:hAnsi="宋体" w:eastAsia="宋体" w:cs="宋体"/>
          <w:sz w:val="22"/>
        </w:rPr>
        <w:t>、患者姓名、患者医嘱等核心功能按键，可实现科室内所有患者预防功能匹配、患者数据实时呈现、医嘱数据更新</w:t>
      </w:r>
      <w:r>
        <w:rPr>
          <w:rFonts w:hint="eastAsia" w:ascii="宋体" w:hAnsi="宋体" w:eastAsia="宋体" w:cs="宋体"/>
          <w:sz w:val="22"/>
          <w:lang w:eastAsia="zh-CN"/>
        </w:rPr>
        <w:t>、</w:t>
      </w:r>
      <w:r>
        <w:rPr>
          <w:rFonts w:hint="eastAsia" w:ascii="宋体" w:hAnsi="宋体" w:eastAsia="宋体" w:cs="宋体"/>
          <w:sz w:val="22"/>
          <w:lang w:val="en-US" w:eastAsia="zh-CN"/>
        </w:rPr>
        <w:t>选择、</w:t>
      </w:r>
      <w:r>
        <w:rPr>
          <w:rFonts w:hint="eastAsia" w:ascii="宋体" w:hAnsi="宋体" w:eastAsia="宋体" w:cs="宋体"/>
          <w:sz w:val="22"/>
        </w:rPr>
        <w:t>确认操作。</w:t>
      </w:r>
    </w:p>
    <w:p w14:paraId="538270D0">
      <w:pPr>
        <w:numPr>
          <w:ilvl w:val="0"/>
          <w:numId w:val="1"/>
        </w:numPr>
        <w:spacing w:before="120" w:after="120" w:line="288" w:lineRule="auto"/>
        <w:ind w:left="425" w:leftChars="0" w:hanging="425" w:firstLineChars="0"/>
        <w:jc w:val="left"/>
        <w:rPr>
          <w:rFonts w:hint="eastAsia" w:ascii="宋体" w:hAnsi="宋体" w:eastAsia="宋体" w:cs="宋体"/>
        </w:rPr>
      </w:pPr>
      <w:r>
        <w:rPr>
          <w:rFonts w:hint="eastAsia" w:ascii="宋体" w:hAnsi="宋体" w:eastAsia="宋体" w:cs="宋体"/>
          <w:lang w:val="en-US" w:eastAsia="zh-CN"/>
        </w:rPr>
        <w:t>设备配置清单：主机1台，</w:t>
      </w:r>
      <w:r>
        <w:rPr>
          <w:rFonts w:hint="eastAsia" w:ascii="宋体" w:hAnsi="宋体" w:eastAsia="宋体" w:cs="宋体"/>
          <w:sz w:val="22"/>
        </w:rPr>
        <w:t>重复使用型</w:t>
      </w:r>
      <w:r>
        <w:rPr>
          <w:rFonts w:hint="eastAsia" w:ascii="宋体" w:hAnsi="宋体" w:eastAsia="宋体" w:cs="宋体"/>
          <w:sz w:val="22"/>
          <w:lang w:eastAsia="zh-CN"/>
        </w:rPr>
        <w:t>：</w:t>
      </w:r>
      <w:r>
        <w:rPr>
          <w:rFonts w:hint="eastAsia" w:ascii="宋体" w:hAnsi="宋体" w:eastAsia="宋体" w:cs="宋体"/>
          <w:sz w:val="22"/>
        </w:rPr>
        <w:t>小腿套</w:t>
      </w:r>
      <w:r>
        <w:rPr>
          <w:rFonts w:hint="eastAsia" w:ascii="宋体" w:hAnsi="宋体" w:eastAsia="宋体" w:cs="宋体"/>
          <w:sz w:val="22"/>
          <w:lang w:eastAsia="zh-CN"/>
        </w:rPr>
        <w:t>、</w:t>
      </w:r>
      <w:r>
        <w:rPr>
          <w:rFonts w:hint="eastAsia" w:ascii="宋体" w:hAnsi="宋体" w:eastAsia="宋体" w:cs="宋体"/>
          <w:sz w:val="22"/>
        </w:rPr>
        <w:t>全腿套、足套</w:t>
      </w:r>
      <w:r>
        <w:rPr>
          <w:rFonts w:hint="eastAsia" w:ascii="宋体" w:hAnsi="宋体" w:eastAsia="宋体" w:cs="宋体"/>
          <w:sz w:val="22"/>
          <w:lang w:val="en-US" w:eastAsia="zh-CN"/>
        </w:rPr>
        <w:t>各一套，</w:t>
      </w:r>
      <w:r>
        <w:rPr>
          <w:rFonts w:hint="eastAsia" w:ascii="宋体" w:hAnsi="宋体" w:eastAsia="宋体" w:cs="宋体"/>
          <w:sz w:val="22"/>
        </w:rPr>
        <w:t>个人专用型小腿套</w:t>
      </w:r>
      <w:r>
        <w:rPr>
          <w:rFonts w:hint="eastAsia" w:ascii="宋体" w:hAnsi="宋体" w:eastAsia="宋体" w:cs="宋体"/>
          <w:sz w:val="22"/>
          <w:lang w:eastAsia="zh-CN"/>
        </w:rPr>
        <w:t>、</w:t>
      </w:r>
      <w:r>
        <w:rPr>
          <w:rFonts w:hint="eastAsia" w:ascii="宋体" w:hAnsi="宋体" w:eastAsia="宋体" w:cs="宋体"/>
          <w:sz w:val="22"/>
        </w:rPr>
        <w:t>全腿套、足套</w:t>
      </w:r>
      <w:r>
        <w:rPr>
          <w:rFonts w:hint="eastAsia" w:ascii="宋体" w:hAnsi="宋体" w:eastAsia="宋体" w:cs="宋体"/>
          <w:sz w:val="22"/>
          <w:lang w:val="en-US" w:eastAsia="zh-CN"/>
        </w:rPr>
        <w:t>各一套。</w:t>
      </w:r>
    </w:p>
    <w:p w14:paraId="7E1FAFC1">
      <w:pPr>
        <w:widowControl w:val="0"/>
        <w:numPr>
          <w:numId w:val="0"/>
        </w:numPr>
        <w:spacing w:before="120" w:after="120" w:line="288" w:lineRule="auto"/>
        <w:jc w:val="left"/>
        <w:rPr>
          <w:rFonts w:hint="eastAsia" w:ascii="宋体" w:hAnsi="宋体" w:eastAsia="宋体" w:cs="宋体"/>
          <w:sz w:val="22"/>
          <w:lang w:val="en-US" w:eastAsia="zh-CN"/>
        </w:rPr>
      </w:pPr>
    </w:p>
    <w:p w14:paraId="4D33D710">
      <w:pPr>
        <w:widowControl w:val="0"/>
        <w:numPr>
          <w:numId w:val="0"/>
        </w:numPr>
        <w:spacing w:before="120" w:after="120" w:line="288" w:lineRule="auto"/>
        <w:jc w:val="left"/>
        <w:rPr>
          <w:rFonts w:hint="eastAsia" w:ascii="宋体" w:hAnsi="宋体" w:eastAsia="宋体" w:cs="宋体"/>
          <w:sz w:val="22"/>
          <w:lang w:val="en-US" w:eastAsia="zh-CN"/>
        </w:rPr>
      </w:pPr>
    </w:p>
    <w:p w14:paraId="43153544">
      <w:pPr>
        <w:widowControl w:val="0"/>
        <w:numPr>
          <w:numId w:val="0"/>
        </w:numPr>
        <w:spacing w:before="120" w:after="120" w:line="288" w:lineRule="auto"/>
        <w:jc w:val="left"/>
        <w:rPr>
          <w:rFonts w:hint="eastAsia" w:ascii="宋体" w:hAnsi="宋体" w:eastAsia="宋体" w:cs="宋体"/>
          <w:sz w:val="22"/>
          <w:lang w:val="en-US" w:eastAsia="zh-CN"/>
        </w:rPr>
      </w:pPr>
    </w:p>
    <w:p w14:paraId="1D4544F5">
      <w:pPr>
        <w:widowControl w:val="0"/>
        <w:numPr>
          <w:numId w:val="0"/>
        </w:numPr>
        <w:spacing w:before="120" w:after="120" w:line="288" w:lineRule="auto"/>
        <w:jc w:val="left"/>
        <w:rPr>
          <w:rFonts w:hint="eastAsia" w:ascii="宋体" w:hAnsi="宋体" w:eastAsia="宋体" w:cs="宋体"/>
          <w:sz w:val="22"/>
          <w:lang w:val="en-US" w:eastAsia="zh-CN"/>
        </w:rPr>
      </w:pPr>
    </w:p>
    <w:p w14:paraId="28081987">
      <w:pPr>
        <w:spacing w:before="380" w:after="140" w:line="288" w:lineRule="auto"/>
        <w:ind w:left="0"/>
        <w:jc w:val="left"/>
        <w:outlineLvl w:val="0"/>
        <w:rPr>
          <w:rFonts w:hint="default" w:ascii="宋体" w:hAnsi="宋体" w:eastAsia="宋体" w:cs="宋体"/>
          <w:b/>
          <w:sz w:val="36"/>
          <w:lang w:val="en-US" w:eastAsia="zh-CN"/>
        </w:rPr>
      </w:pPr>
      <w:bookmarkStart w:id="1" w:name="heading_1"/>
      <w:r>
        <w:rPr>
          <w:rFonts w:hint="eastAsia" w:ascii="宋体" w:hAnsi="宋体" w:eastAsia="宋体" w:cs="宋体"/>
          <w:b/>
          <w:sz w:val="36"/>
        </w:rPr>
        <w:t>二、VTE全流程管理软件招标</w:t>
      </w:r>
      <w:bookmarkEnd w:id="1"/>
      <w:r>
        <w:rPr>
          <w:rFonts w:hint="eastAsia" w:ascii="宋体" w:hAnsi="宋体" w:eastAsia="宋体" w:cs="宋体"/>
          <w:b/>
          <w:sz w:val="36"/>
          <w:lang w:val="en-US" w:eastAsia="zh-CN"/>
        </w:rPr>
        <w:t>技术要求</w:t>
      </w:r>
    </w:p>
    <w:p w14:paraId="18BA072A">
      <w:pPr>
        <w:spacing w:before="320" w:after="120" w:line="288" w:lineRule="auto"/>
        <w:ind w:left="0"/>
        <w:jc w:val="left"/>
        <w:outlineLvl w:val="1"/>
        <w:rPr>
          <w:rFonts w:hint="eastAsia" w:ascii="宋体" w:hAnsi="宋体" w:eastAsia="宋体" w:cs="宋体"/>
          <w:sz w:val="20"/>
          <w:szCs w:val="21"/>
        </w:rPr>
      </w:pPr>
      <w:bookmarkStart w:id="2" w:name="heading_2"/>
      <w:r>
        <w:rPr>
          <w:rFonts w:hint="eastAsia" w:ascii="宋体" w:hAnsi="宋体" w:eastAsia="宋体" w:cs="宋体"/>
          <w:b/>
          <w:sz w:val="28"/>
          <w:szCs w:val="21"/>
        </w:rPr>
        <w:t>1.系统技术规格</w:t>
      </w:r>
      <w:bookmarkEnd w:id="2"/>
    </w:p>
    <w:p w14:paraId="0AE0E91A">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rPr>
      </w:pPr>
      <w:r>
        <w:rPr>
          <w:rFonts w:hint="eastAsia" w:ascii="宋体" w:hAnsi="宋体" w:eastAsia="宋体" w:cs="宋体"/>
          <w:sz w:val="22"/>
        </w:rPr>
        <w:t>1.1运行环境（需提供相关证书）：支持国产操作系统，包括Kylin、UbuntuKylin、openEuler、UOS；支持国产CPU，需提供对应厂商颁发的相互兼容性测试认证证书，符合国产化要求。</w:t>
      </w:r>
    </w:p>
    <w:p w14:paraId="6C564D03">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rPr>
      </w:pPr>
      <w:r>
        <w:rPr>
          <w:rFonts w:hint="eastAsia" w:ascii="宋体" w:hAnsi="宋体" w:eastAsia="宋体" w:cs="宋体"/>
          <w:sz w:val="22"/>
        </w:rPr>
        <w:t>1.2系统架构：采用B/S架构，支持多终端访问，无需安装客户端，降低医院运维成本，提升使用便捷性。</w:t>
      </w:r>
    </w:p>
    <w:p w14:paraId="49001F08">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rPr>
      </w:pPr>
      <w:r>
        <w:rPr>
          <w:rFonts w:hint="eastAsia" w:ascii="宋体" w:hAnsi="宋体" w:eastAsia="宋体" w:cs="宋体"/>
          <w:sz w:val="22"/>
        </w:rPr>
        <w:t>1.3系统对接要求：支持与医院EMR、HIS、LIS、PACS系统对接，可获取患者主诉、病史、医嘱、检验检查报告等相关数据</w:t>
      </w:r>
      <w:r>
        <w:rPr>
          <w:rFonts w:hint="eastAsia" w:ascii="宋体" w:hAnsi="宋体" w:eastAsia="宋体" w:cs="宋体"/>
          <w:sz w:val="22"/>
          <w:lang w:eastAsia="zh-CN"/>
        </w:rPr>
        <w:t>，</w:t>
      </w:r>
      <w:r>
        <w:rPr>
          <w:rFonts w:hint="eastAsia" w:ascii="宋体" w:hAnsi="宋体" w:eastAsia="宋体" w:cs="宋体"/>
          <w:sz w:val="22"/>
        </w:rPr>
        <w:t>达成数据互联互通。</w:t>
      </w:r>
    </w:p>
    <w:p w14:paraId="570E966D">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rPr>
      </w:pPr>
      <w:r>
        <w:rPr>
          <w:rFonts w:hint="eastAsia" w:ascii="宋体" w:hAnsi="宋体" w:eastAsia="宋体" w:cs="宋体"/>
          <w:sz w:val="22"/>
        </w:rPr>
        <w:t>1.</w:t>
      </w:r>
      <w:r>
        <w:rPr>
          <w:rFonts w:hint="eastAsia" w:ascii="宋体" w:hAnsi="宋体" w:eastAsia="宋体" w:cs="宋体"/>
          <w:sz w:val="22"/>
          <w:lang w:val="en-US" w:eastAsia="zh-CN"/>
        </w:rPr>
        <w:t>4</w:t>
      </w:r>
      <w:r>
        <w:rPr>
          <w:rFonts w:hint="eastAsia" w:ascii="宋体" w:hAnsi="宋体" w:eastAsia="宋体" w:cs="宋体"/>
          <w:sz w:val="22"/>
        </w:rPr>
        <w:t>互联互通要求：系统需满足《全国肺栓塞和深静脉血栓形成防治能力建设项目信息化应用与质控管理建议》</w:t>
      </w:r>
      <w:r>
        <w:rPr>
          <w:rFonts w:hint="eastAsia" w:ascii="宋体" w:hAnsi="宋体" w:eastAsia="宋体" w:cs="宋体"/>
          <w:sz w:val="22"/>
          <w:lang w:eastAsia="zh-CN"/>
        </w:rPr>
        <w:t>、</w:t>
      </w:r>
      <w:r>
        <w:rPr>
          <w:rFonts w:hint="eastAsia" w:ascii="宋体" w:hAnsi="宋体" w:eastAsia="宋体" w:cs="宋体"/>
          <w:sz w:val="22"/>
        </w:rPr>
        <w:t>《医院内静脉血栓栓塞症防治质量评价与管理指南（2022版）》规定的VTE信息系统五级互联互通技术标准；</w:t>
      </w:r>
    </w:p>
    <w:p w14:paraId="33E9238D">
      <w:pPr>
        <w:spacing w:before="320" w:after="120" w:line="288" w:lineRule="auto"/>
        <w:ind w:left="0"/>
        <w:jc w:val="left"/>
        <w:outlineLvl w:val="1"/>
        <w:rPr>
          <w:rFonts w:hint="eastAsia" w:ascii="宋体" w:hAnsi="宋体" w:eastAsia="宋体" w:cs="宋体"/>
          <w:sz w:val="20"/>
          <w:szCs w:val="21"/>
        </w:rPr>
      </w:pPr>
      <w:bookmarkStart w:id="3" w:name="heading_3"/>
      <w:r>
        <w:rPr>
          <w:rFonts w:hint="eastAsia" w:ascii="宋体" w:hAnsi="宋体" w:eastAsia="宋体" w:cs="宋体"/>
          <w:b/>
          <w:sz w:val="28"/>
          <w:szCs w:val="21"/>
        </w:rPr>
        <w:t>2.系统功能核心参数</w:t>
      </w:r>
      <w:bookmarkEnd w:id="3"/>
    </w:p>
    <w:p w14:paraId="33C7BC57">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rPr>
      </w:pPr>
      <w:r>
        <w:rPr>
          <w:rFonts w:hint="eastAsia" w:ascii="宋体" w:hAnsi="宋体" w:eastAsia="宋体" w:cs="宋体"/>
          <w:sz w:val="22"/>
        </w:rPr>
        <w:t>2.1</w:t>
      </w:r>
      <w:r>
        <w:rPr>
          <w:rFonts w:hint="eastAsia" w:ascii="宋体" w:hAnsi="宋体" w:eastAsia="宋体" w:cs="宋体"/>
          <w:sz w:val="22"/>
          <w:lang w:val="en-US" w:eastAsia="zh-CN"/>
        </w:rPr>
        <w:t xml:space="preserve"> </w:t>
      </w:r>
      <w:r>
        <w:rPr>
          <w:rFonts w:hint="eastAsia" w:ascii="宋体" w:hAnsi="宋体" w:eastAsia="宋体" w:cs="宋体"/>
          <w:sz w:val="22"/>
        </w:rPr>
        <w:t>角色与权限管理：支持根据医疗机构考核管理要求，灵活设置不同层级的角色（如管理员、医生、护士等）及对应权限，实现权限分级管控，保障数据安全。</w:t>
      </w:r>
    </w:p>
    <w:p w14:paraId="400922A1">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rPr>
      </w:pPr>
      <w:r>
        <w:rPr>
          <w:rFonts w:hint="eastAsia" w:ascii="宋体" w:hAnsi="宋体" w:eastAsia="宋体" w:cs="宋体"/>
          <w:sz w:val="22"/>
        </w:rPr>
        <w:t>2.2</w:t>
      </w:r>
      <w:r>
        <w:rPr>
          <w:rFonts w:hint="eastAsia" w:ascii="宋体" w:hAnsi="宋体" w:eastAsia="宋体" w:cs="宋体"/>
          <w:sz w:val="22"/>
          <w:lang w:val="en-US" w:eastAsia="zh-CN"/>
        </w:rPr>
        <w:t xml:space="preserve"> </w:t>
      </w:r>
      <w:r>
        <w:rPr>
          <w:rFonts w:hint="eastAsia" w:ascii="宋体" w:hAnsi="宋体" w:eastAsia="宋体" w:cs="宋体"/>
          <w:sz w:val="22"/>
        </w:rPr>
        <w:t>VTE风险评估：支持Caprini评估模型、Padua评估模型、妇产科评估、肿瘤科评估等多种最新经典评估模型；支持按医院需求自定义评估时间节点，包含不少于7个评分节点（术前、入院、术后、病情变化后等）；当VTE风险评估为中高危时，系统强制进行出血风险评估、机械预防禁忌评估，同时强制进行简化WellsPE与DVT评分；支持查阅在院、出院24小时内、已出院患者的所有评估记录，可打印、归档并以PDF形式上传至医院内网服务器；风险评估完成后，自动向临床医生推荐合理的预防及检查诊断措施。</w:t>
      </w:r>
    </w:p>
    <w:p w14:paraId="1703D8A0">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rPr>
      </w:pPr>
      <w:r>
        <w:rPr>
          <w:rFonts w:hint="eastAsia" w:ascii="宋体" w:hAnsi="宋体" w:eastAsia="宋体" w:cs="宋体"/>
          <w:sz w:val="22"/>
        </w:rPr>
        <w:t>2.3</w:t>
      </w:r>
      <w:r>
        <w:rPr>
          <w:rFonts w:hint="eastAsia" w:ascii="宋体" w:hAnsi="宋体" w:eastAsia="宋体" w:cs="宋体"/>
          <w:sz w:val="22"/>
          <w:lang w:val="en-US" w:eastAsia="zh-CN"/>
        </w:rPr>
        <w:t xml:space="preserve"> </w:t>
      </w:r>
      <w:r>
        <w:rPr>
          <w:rFonts w:hint="eastAsia" w:ascii="宋体" w:hAnsi="宋体" w:eastAsia="宋体" w:cs="宋体"/>
          <w:sz w:val="22"/>
        </w:rPr>
        <w:t>AI自动风险评估：可自动识别患者住院进程（入院、转科、手术、病情变化、出院等），患者状态变化时自动触发风险评估，并通过弹窗提醒医生确认；医生确认时，系统同步显示AI与医生评估结果，方便对比，支持自定义评估结果修改规则（如禁止修改患者年龄、体重等核心评估项）；支持查看AI评估的详细判断依据，确保评估结果可追溯。</w:t>
      </w:r>
    </w:p>
    <w:p w14:paraId="0BDC8470">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sz w:val="22"/>
        </w:rPr>
      </w:pPr>
      <w:r>
        <w:rPr>
          <w:rFonts w:hint="eastAsia" w:ascii="宋体" w:hAnsi="宋体" w:eastAsia="宋体" w:cs="宋体"/>
          <w:sz w:val="22"/>
        </w:rPr>
        <w:t>2.4临床提醒：</w:t>
      </w:r>
    </w:p>
    <w:p w14:paraId="6D5D285C">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sz w:val="22"/>
          <w:lang w:eastAsia="zh-Hans"/>
        </w:rPr>
      </w:pPr>
      <w:r>
        <w:rPr>
          <w:rFonts w:hint="eastAsia" w:ascii="宋体" w:hAnsi="宋体" w:eastAsia="宋体" w:cs="宋体"/>
          <w:sz w:val="22"/>
        </w:rPr>
        <w:t>（1）</w:t>
      </w:r>
      <w:r>
        <w:rPr>
          <w:rFonts w:hint="eastAsia" w:ascii="宋体" w:hAnsi="宋体" w:eastAsia="宋体" w:cs="宋体"/>
          <w:sz w:val="22"/>
          <w:lang w:eastAsia="zh-Hans"/>
        </w:rPr>
        <w:t>一级提醒：仅页面提示</w:t>
      </w:r>
    </w:p>
    <w:p w14:paraId="3FE1D221">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sz w:val="22"/>
          <w:lang w:eastAsia="zh-Hans"/>
        </w:rPr>
      </w:pPr>
      <w:r>
        <w:rPr>
          <w:rFonts w:hint="eastAsia" w:ascii="宋体" w:hAnsi="宋体" w:eastAsia="宋体" w:cs="宋体"/>
          <w:sz w:val="22"/>
          <w:lang w:eastAsia="zh-Hans"/>
        </w:rPr>
        <w:t>支持患者状态提示：在院患者AI或护理评分未确认、出院患者AI或护理评分未确认、检验结果异常、影像检查结果异常</w:t>
      </w:r>
    </w:p>
    <w:p w14:paraId="4CE7C2D7">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sz w:val="22"/>
          <w:lang w:eastAsia="zh-Hans"/>
        </w:rPr>
      </w:pPr>
      <w:r>
        <w:rPr>
          <w:rFonts w:hint="eastAsia" w:ascii="宋体" w:hAnsi="宋体" w:eastAsia="宋体" w:cs="宋体"/>
          <w:sz w:val="22"/>
          <w:lang w:eastAsia="zh-Hans"/>
        </w:rPr>
        <w:t>（</w:t>
      </w:r>
      <w:r>
        <w:rPr>
          <w:rFonts w:hint="eastAsia" w:ascii="宋体" w:hAnsi="宋体" w:eastAsia="宋体" w:cs="宋体"/>
          <w:sz w:val="22"/>
        </w:rPr>
        <w:t>2</w:t>
      </w:r>
      <w:r>
        <w:rPr>
          <w:rFonts w:hint="eastAsia" w:ascii="宋体" w:hAnsi="宋体" w:eastAsia="宋体" w:cs="宋体"/>
          <w:sz w:val="22"/>
          <w:lang w:eastAsia="zh-Hans"/>
        </w:rPr>
        <w:t>）</w:t>
      </w:r>
      <w:r>
        <w:rPr>
          <w:rFonts w:hint="eastAsia" w:ascii="宋体" w:hAnsi="宋体" w:eastAsia="宋体" w:cs="宋体"/>
          <w:sz w:val="22"/>
          <w:lang w:val="en-US" w:eastAsia="zh-CN"/>
        </w:rPr>
        <w:t>▲</w:t>
      </w:r>
      <w:r>
        <w:rPr>
          <w:rFonts w:hint="eastAsia" w:ascii="宋体" w:hAnsi="宋体" w:eastAsia="宋体" w:cs="宋体"/>
          <w:sz w:val="22"/>
          <w:lang w:eastAsia="zh-Hans"/>
        </w:rPr>
        <w:t>二级提醒：弹窗提醒（系统弹窗提醒）</w:t>
      </w:r>
    </w:p>
    <w:p w14:paraId="32C63973">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sz w:val="22"/>
          <w:lang w:eastAsia="zh-Hans"/>
        </w:rPr>
      </w:pPr>
      <w:r>
        <w:rPr>
          <w:rFonts w:hint="eastAsia" w:ascii="宋体" w:hAnsi="宋体" w:eastAsia="宋体" w:cs="宋体"/>
          <w:sz w:val="22"/>
          <w:lang w:eastAsia="zh-Hans"/>
        </w:rPr>
        <w:t>支持未完成任务提醒：在院患者AI或护理评分未确认、出院患者AI或护理评分未确认、未评估、未开具检验检查医嘱、未开具预防措施医嘱、不合理预防措施提醒、腿围异常提醒、检验结果异常提醒、确认VTE影像诊断结果、确认死亡结果。</w:t>
      </w:r>
    </w:p>
    <w:p w14:paraId="62F02F0F">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sz w:val="22"/>
          <w:lang w:eastAsia="zh-Hans"/>
        </w:rPr>
      </w:pPr>
      <w:r>
        <w:rPr>
          <w:rFonts w:hint="eastAsia" w:ascii="宋体" w:hAnsi="宋体" w:eastAsia="宋体" w:cs="宋体"/>
          <w:sz w:val="22"/>
          <w:lang w:eastAsia="zh-Hans"/>
        </w:rPr>
        <w:t>（</w:t>
      </w:r>
      <w:r>
        <w:rPr>
          <w:rFonts w:hint="eastAsia" w:ascii="宋体" w:hAnsi="宋体" w:eastAsia="宋体" w:cs="宋体"/>
          <w:sz w:val="22"/>
        </w:rPr>
        <w:t>3</w:t>
      </w:r>
      <w:r>
        <w:rPr>
          <w:rFonts w:hint="eastAsia" w:ascii="宋体" w:hAnsi="宋体" w:eastAsia="宋体" w:cs="宋体"/>
          <w:sz w:val="22"/>
          <w:lang w:eastAsia="zh-Hans"/>
        </w:rPr>
        <w:t>）三级提醒：强制卡控</w:t>
      </w:r>
    </w:p>
    <w:p w14:paraId="14055EDB">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sz w:val="22"/>
          <w:lang w:eastAsia="zh-Hans"/>
        </w:rPr>
      </w:pPr>
      <w:r>
        <w:rPr>
          <w:rFonts w:hint="eastAsia" w:ascii="宋体" w:hAnsi="宋体" w:eastAsia="宋体" w:cs="宋体"/>
          <w:sz w:val="22"/>
          <w:lang w:eastAsia="zh-Hans"/>
        </w:rPr>
        <w:t>支持评估卡控：病历文书保存时，强制要求评估。支持医嘱卡控：下医嘱时，强制提醒对中高危患者下预防医嘱。</w:t>
      </w:r>
    </w:p>
    <w:p w14:paraId="56218895">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rPr>
      </w:pPr>
      <w:r>
        <w:rPr>
          <w:rFonts w:hint="eastAsia" w:ascii="宋体" w:hAnsi="宋体" w:eastAsia="宋体" w:cs="宋体"/>
          <w:sz w:val="22"/>
        </w:rPr>
        <w:t>2.5数据指标展示：同一页面实时展示在院/出院患者不少于30项VTE防治相关数据指标（除患者例数外，均需展示例数及占比）；支持查看指标明细，实时展示不少于4项VTE防治数据图；同一页面展示各科室在院患者不少于5项VTE防治数据指标；支持按科室、诊疗组筛选，按用户角色（全院、科室、医护等）设置查阅权限，需提供截图证明。</w:t>
      </w:r>
    </w:p>
    <w:p w14:paraId="1C4FBC9A">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rPr>
      </w:pPr>
      <w:r>
        <w:rPr>
          <w:rFonts w:hint="eastAsia" w:ascii="宋体" w:hAnsi="宋体" w:eastAsia="宋体" w:cs="宋体"/>
          <w:sz w:val="22"/>
        </w:rPr>
        <w:t>2.6数据大屏：支持以≥</w:t>
      </w:r>
      <w:r>
        <w:rPr>
          <w:rFonts w:hint="eastAsia" w:ascii="宋体" w:hAnsi="宋体" w:eastAsia="宋体" w:cs="宋体"/>
          <w:sz w:val="22"/>
          <w:lang w:val="en-US" w:eastAsia="zh-CN"/>
        </w:rPr>
        <w:t>60寸4K</w:t>
      </w:r>
      <w:r>
        <w:rPr>
          <w:rFonts w:hint="eastAsia" w:ascii="宋体" w:hAnsi="宋体" w:eastAsia="宋体" w:cs="宋体"/>
          <w:sz w:val="22"/>
        </w:rPr>
        <w:t>数据大屏，按年度、院区展示医疗机构出院患者历史数据，涵盖VTE风险评估（完成率、未评估率等）、出血风险评估、预防措施实施率、VTE结局质量等核心数据，实现可视化管控。</w:t>
      </w:r>
    </w:p>
    <w:p w14:paraId="563CF481">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sz w:val="22"/>
        </w:rPr>
      </w:pPr>
      <w:r>
        <w:rPr>
          <w:rFonts w:hint="eastAsia" w:ascii="宋体" w:hAnsi="宋体" w:eastAsia="宋体" w:cs="宋体"/>
          <w:sz w:val="22"/>
        </w:rPr>
        <w:t>2.7指标质控：涵盖11类核心质控指标，需提供截图证明；包括医院重点预防类（≥8种指标）、评估类（VTE及出血风险各≥7种）、预防类（药物、机械等多类指标）、诊断类（下肢静脉超声、CTPA等）、治疗类、结局类、随访类等；</w:t>
      </w:r>
    </w:p>
    <w:p w14:paraId="3EADC6E0">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860" w:leftChars="200" w:hanging="440" w:hangingChars="200"/>
        <w:jc w:val="left"/>
        <w:textAlignment w:val="auto"/>
        <w:rPr>
          <w:rFonts w:hint="eastAsia" w:ascii="宋体" w:hAnsi="宋体" w:eastAsia="宋体" w:cs="宋体"/>
          <w:sz w:val="22"/>
        </w:rPr>
      </w:pPr>
      <w:r>
        <w:rPr>
          <w:rFonts w:hint="eastAsia" w:ascii="宋体" w:hAnsi="宋体" w:eastAsia="宋体" w:cs="宋体"/>
          <w:sz w:val="22"/>
          <w:lang w:val="en-US" w:eastAsia="zh-CN"/>
        </w:rPr>
        <w:t>2.7.1</w:t>
      </w:r>
      <w:r>
        <w:rPr>
          <w:rFonts w:hint="eastAsia" w:ascii="宋体" w:hAnsi="宋体" w:eastAsia="宋体" w:cs="宋体"/>
          <w:sz w:val="22"/>
        </w:rPr>
        <w:t>▲ICU专项指标质控：按多维度统计不少于8种ICU专项指标（入ICU评估率、中高危比率等）；</w:t>
      </w:r>
    </w:p>
    <w:p w14:paraId="6FB03F29">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860" w:leftChars="200" w:hanging="440" w:hangingChars="200"/>
        <w:jc w:val="left"/>
        <w:textAlignment w:val="auto"/>
        <w:rPr>
          <w:rFonts w:hint="eastAsia" w:ascii="宋体" w:hAnsi="宋体" w:eastAsia="宋体" w:cs="宋体"/>
        </w:rPr>
      </w:pPr>
      <w:r>
        <w:rPr>
          <w:rFonts w:hint="eastAsia" w:ascii="宋体" w:hAnsi="宋体" w:eastAsia="宋体" w:cs="宋体"/>
          <w:sz w:val="22"/>
          <w:lang w:val="en-US" w:eastAsia="zh-CN"/>
        </w:rPr>
        <w:t>2.7.2</w:t>
      </w:r>
      <w:r>
        <w:rPr>
          <w:rFonts w:hint="eastAsia" w:ascii="宋体" w:hAnsi="宋体" w:eastAsia="宋体" w:cs="宋体"/>
          <w:sz w:val="22"/>
        </w:rPr>
        <w:t>▲评估类、预防类指标支持按九大类重点人群（妇科、产科、重症等）统计筛选。</w:t>
      </w:r>
    </w:p>
    <w:p w14:paraId="18EE4B1B">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sz w:val="22"/>
          <w:lang w:val="en-US" w:eastAsia="zh-CN"/>
        </w:rPr>
      </w:pPr>
      <w:r>
        <w:rPr>
          <w:rFonts w:hint="eastAsia" w:ascii="宋体" w:hAnsi="宋体" w:eastAsia="宋体" w:cs="宋体"/>
          <w:sz w:val="22"/>
        </w:rPr>
        <w:t>2.8▲PDCA质量管理：</w:t>
      </w:r>
      <w:r>
        <w:rPr>
          <w:rFonts w:hint="eastAsia" w:ascii="宋体" w:hAnsi="宋体" w:eastAsia="宋体" w:cs="宋体"/>
          <w:sz w:val="22"/>
          <w:lang w:val="en-US" w:eastAsia="zh-CN"/>
        </w:rPr>
        <w:t>系统能满足风险评估</w:t>
      </w:r>
      <w:r>
        <w:rPr>
          <w:rFonts w:hint="eastAsia" w:ascii="宋体" w:hAnsi="宋体" w:eastAsia="宋体" w:cs="宋体"/>
          <w:sz w:val="22"/>
        </w:rPr>
        <w:t>质量、预防质量、诊断质量、治疗质量、宣教质量、随访质量6类</w:t>
      </w:r>
      <w:r>
        <w:rPr>
          <w:rFonts w:hint="eastAsia" w:ascii="宋体" w:hAnsi="宋体" w:eastAsia="宋体" w:cs="宋体"/>
          <w:sz w:val="22"/>
          <w:lang w:val="en-US" w:eastAsia="zh-CN"/>
        </w:rPr>
        <w:t>质量管理，具体如下：</w:t>
      </w:r>
    </w:p>
    <w:p w14:paraId="32E66073">
      <w:pPr>
        <w:spacing w:line="312" w:lineRule="auto"/>
        <w:ind w:firstLine="420" w:firstLineChars="200"/>
        <w:rPr>
          <w:rFonts w:ascii="宋体" w:hAnsi="宋体" w:cs="宋体"/>
          <w:color w:val="auto"/>
          <w:kern w:val="0"/>
          <w:szCs w:val="21"/>
          <w:highlight w:val="none"/>
          <w:lang w:eastAsia="zh-Hans"/>
        </w:rPr>
      </w:pPr>
      <w:r>
        <w:rPr>
          <w:rFonts w:hint="eastAsia" w:ascii="宋体" w:hAnsi="宋体" w:cs="宋体"/>
          <w:color w:val="auto"/>
          <w:kern w:val="0"/>
          <w:szCs w:val="21"/>
          <w:highlight w:val="none"/>
          <w:lang w:val="en-US" w:eastAsia="zh-CN"/>
        </w:rPr>
        <w:t>2.8.1风险评估</w:t>
      </w:r>
      <w:r>
        <w:rPr>
          <w:rFonts w:ascii="宋体" w:hAnsi="宋体" w:cs="宋体"/>
          <w:color w:val="auto"/>
          <w:kern w:val="0"/>
          <w:szCs w:val="21"/>
          <w:highlight w:val="none"/>
          <w:lang w:eastAsia="zh-Hans"/>
        </w:rPr>
        <w:t>质量</w:t>
      </w:r>
    </w:p>
    <w:p w14:paraId="03088AFD">
      <w:pPr>
        <w:spacing w:line="312" w:lineRule="auto"/>
        <w:ind w:firstLine="420" w:firstLineChars="200"/>
        <w:rPr>
          <w:rFonts w:ascii="宋体" w:hAnsi="宋体" w:cs="宋体"/>
          <w:color w:val="auto"/>
          <w:kern w:val="0"/>
          <w:szCs w:val="21"/>
          <w:highlight w:val="none"/>
          <w:lang w:eastAsia="zh-Hans"/>
        </w:rPr>
      </w:pPr>
      <w:r>
        <w:rPr>
          <w:rFonts w:hint="eastAsia" w:ascii="宋体" w:hAnsi="宋体" w:cs="宋体"/>
          <w:color w:val="auto"/>
          <w:kern w:val="0"/>
          <w:szCs w:val="21"/>
          <w:highlight w:val="none"/>
          <w:lang w:val="en-US" w:eastAsia="zh-CN"/>
        </w:rPr>
        <w:t>2.8.1.1住院患者</w:t>
      </w:r>
      <w:r>
        <w:rPr>
          <w:rFonts w:ascii="宋体" w:hAnsi="宋体" w:cs="宋体"/>
          <w:color w:val="auto"/>
          <w:kern w:val="0"/>
          <w:szCs w:val="21"/>
          <w:highlight w:val="none"/>
          <w:lang w:eastAsia="zh-Hans"/>
        </w:rPr>
        <w:t>未评分</w:t>
      </w:r>
      <w:r>
        <w:rPr>
          <w:rFonts w:hint="eastAsia" w:ascii="宋体" w:hAnsi="宋体" w:cs="宋体"/>
          <w:color w:val="auto"/>
          <w:kern w:val="0"/>
          <w:szCs w:val="21"/>
          <w:highlight w:val="none"/>
          <w:lang w:val="en-US" w:eastAsia="zh-CN"/>
        </w:rPr>
        <w:t>统计</w:t>
      </w:r>
      <w:r>
        <w:rPr>
          <w:rFonts w:ascii="宋体" w:hAnsi="宋体" w:cs="宋体"/>
          <w:color w:val="auto"/>
          <w:kern w:val="0"/>
          <w:szCs w:val="21"/>
          <w:highlight w:val="none"/>
          <w:lang w:eastAsia="zh-Hans"/>
        </w:rPr>
        <w:t>。</w:t>
      </w:r>
    </w:p>
    <w:p w14:paraId="07F098EC">
      <w:pPr>
        <w:spacing w:line="312" w:lineRule="auto"/>
        <w:ind w:firstLine="420" w:firstLineChars="200"/>
        <w:rPr>
          <w:rFonts w:ascii="宋体" w:hAnsi="宋体" w:cs="宋体"/>
          <w:color w:val="auto"/>
          <w:kern w:val="0"/>
          <w:szCs w:val="21"/>
          <w:highlight w:val="none"/>
          <w:lang w:eastAsia="zh-Hans"/>
        </w:rPr>
      </w:pPr>
      <w:r>
        <w:rPr>
          <w:rFonts w:hint="eastAsia" w:ascii="宋体" w:hAnsi="宋体" w:cs="宋体"/>
          <w:color w:val="auto"/>
          <w:kern w:val="0"/>
          <w:szCs w:val="21"/>
          <w:highlight w:val="none"/>
          <w:lang w:val="en-US" w:eastAsia="zh-CN"/>
        </w:rPr>
        <w:t>针对住院风险评估患者，系统</w:t>
      </w:r>
      <w:r>
        <w:rPr>
          <w:rFonts w:ascii="宋体" w:hAnsi="宋体" w:cs="宋体"/>
          <w:color w:val="auto"/>
          <w:kern w:val="0"/>
          <w:szCs w:val="21"/>
          <w:highlight w:val="none"/>
          <w:lang w:eastAsia="zh-Hans"/>
        </w:rPr>
        <w:t>支持不少于4种在院患者相关统计数据指标：未评分例数及比率、入院24小时内未评分例数及比率、术后24小时内未评分例数及比率、转科后24小时未评分例数及比率。</w:t>
      </w:r>
    </w:p>
    <w:p w14:paraId="49EB9ADC">
      <w:pPr>
        <w:spacing w:line="312" w:lineRule="auto"/>
        <w:ind w:firstLine="420" w:firstLineChars="200"/>
        <w:rPr>
          <w:rFonts w:ascii="宋体" w:hAnsi="宋体" w:cs="宋体"/>
          <w:color w:val="auto"/>
          <w:kern w:val="0"/>
          <w:szCs w:val="21"/>
          <w:highlight w:val="none"/>
          <w:lang w:eastAsia="zh-Hans"/>
        </w:rPr>
      </w:pPr>
      <w:r>
        <w:rPr>
          <w:rFonts w:hint="eastAsia" w:ascii="宋体" w:hAnsi="宋体" w:cs="宋体"/>
          <w:color w:val="auto"/>
          <w:kern w:val="0"/>
          <w:szCs w:val="21"/>
          <w:highlight w:val="none"/>
          <w:lang w:val="en-US" w:eastAsia="zh-CN"/>
        </w:rPr>
        <w:t>2.8.1.2</w:t>
      </w:r>
      <w:r>
        <w:rPr>
          <w:rFonts w:ascii="宋体" w:hAnsi="宋体" w:cs="宋体"/>
          <w:color w:val="auto"/>
          <w:kern w:val="0"/>
          <w:szCs w:val="21"/>
          <w:highlight w:val="none"/>
          <w:lang w:eastAsia="zh-Hans"/>
        </w:rPr>
        <w:t xml:space="preserve"> 出院</w:t>
      </w:r>
      <w:r>
        <w:rPr>
          <w:rFonts w:hint="eastAsia" w:ascii="宋体" w:hAnsi="宋体" w:cs="宋体"/>
          <w:color w:val="auto"/>
          <w:kern w:val="0"/>
          <w:szCs w:val="21"/>
          <w:highlight w:val="none"/>
          <w:lang w:val="en-US" w:eastAsia="zh-CN"/>
        </w:rPr>
        <w:t>患者</w:t>
      </w:r>
      <w:r>
        <w:rPr>
          <w:rFonts w:ascii="宋体" w:hAnsi="宋体" w:cs="宋体"/>
          <w:color w:val="auto"/>
          <w:kern w:val="0"/>
          <w:szCs w:val="21"/>
          <w:highlight w:val="none"/>
          <w:lang w:eastAsia="zh-Hans"/>
        </w:rPr>
        <w:t>未评分</w:t>
      </w:r>
      <w:r>
        <w:rPr>
          <w:rFonts w:hint="eastAsia" w:ascii="宋体" w:hAnsi="宋体" w:cs="宋体"/>
          <w:color w:val="auto"/>
          <w:kern w:val="0"/>
          <w:szCs w:val="21"/>
          <w:highlight w:val="none"/>
          <w:lang w:val="en-US" w:eastAsia="zh-CN"/>
        </w:rPr>
        <w:t>统计</w:t>
      </w:r>
      <w:r>
        <w:rPr>
          <w:rFonts w:ascii="宋体" w:hAnsi="宋体" w:cs="宋体"/>
          <w:color w:val="auto"/>
          <w:kern w:val="0"/>
          <w:szCs w:val="21"/>
          <w:highlight w:val="none"/>
          <w:lang w:eastAsia="zh-Hans"/>
        </w:rPr>
        <w:t>。</w:t>
      </w:r>
    </w:p>
    <w:p w14:paraId="439F756E">
      <w:pPr>
        <w:spacing w:line="312" w:lineRule="auto"/>
        <w:ind w:firstLine="420" w:firstLineChars="200"/>
        <w:rPr>
          <w:rFonts w:ascii="宋体" w:hAnsi="宋体" w:cs="宋体"/>
          <w:color w:val="auto"/>
          <w:kern w:val="0"/>
          <w:szCs w:val="21"/>
          <w:highlight w:val="none"/>
          <w:lang w:eastAsia="zh-Hans"/>
        </w:rPr>
      </w:pPr>
      <w:r>
        <w:rPr>
          <w:rFonts w:hint="eastAsia" w:ascii="宋体" w:hAnsi="宋体" w:cs="宋体"/>
          <w:color w:val="auto"/>
          <w:kern w:val="0"/>
          <w:szCs w:val="21"/>
          <w:highlight w:val="none"/>
          <w:lang w:val="en-US" w:eastAsia="zh-CN"/>
        </w:rPr>
        <w:t>针对出院风险评估患者，系统</w:t>
      </w:r>
      <w:r>
        <w:rPr>
          <w:rFonts w:ascii="宋体" w:hAnsi="宋体" w:cs="宋体"/>
          <w:color w:val="auto"/>
          <w:kern w:val="0"/>
          <w:szCs w:val="21"/>
          <w:highlight w:val="none"/>
          <w:lang w:eastAsia="zh-Hans"/>
        </w:rPr>
        <w:t>支持不少于6种出院患者相关统计数据指标：出院患者未评分例数及比率、入院24小时内未评分例数及比率、术后24小时内未评分例数及比率、转科后24小时未评分例数及比率、出院前24小时内未评分例数及比率、在院未评分出院补评分例数及比率。</w:t>
      </w:r>
    </w:p>
    <w:p w14:paraId="179425CD">
      <w:pPr>
        <w:spacing w:line="312" w:lineRule="auto"/>
        <w:ind w:firstLine="420" w:firstLineChars="200"/>
        <w:rPr>
          <w:rFonts w:ascii="宋体" w:hAnsi="宋体" w:cs="宋体"/>
          <w:color w:val="auto"/>
          <w:kern w:val="0"/>
          <w:szCs w:val="21"/>
          <w:highlight w:val="none"/>
          <w:lang w:eastAsia="zh-Hans"/>
        </w:rPr>
      </w:pPr>
      <w:r>
        <w:rPr>
          <w:rFonts w:hint="eastAsia" w:ascii="宋体" w:hAnsi="宋体" w:cs="宋体"/>
          <w:color w:val="auto"/>
          <w:kern w:val="0"/>
          <w:szCs w:val="21"/>
          <w:highlight w:val="none"/>
          <w:lang w:val="en-US" w:eastAsia="zh-CN"/>
        </w:rPr>
        <w:t>2.8.1.3</w:t>
      </w:r>
      <w:r>
        <w:rPr>
          <w:rFonts w:ascii="宋体" w:hAnsi="宋体" w:cs="宋体"/>
          <w:color w:val="auto"/>
          <w:kern w:val="0"/>
          <w:szCs w:val="21"/>
          <w:highlight w:val="none"/>
          <w:lang w:eastAsia="zh-Hans"/>
        </w:rPr>
        <w:t>出血风险评估未评分例数及比率。</w:t>
      </w:r>
    </w:p>
    <w:p w14:paraId="09CCF5BB">
      <w:pPr>
        <w:spacing w:line="312" w:lineRule="auto"/>
        <w:ind w:firstLine="420" w:firstLineChars="200"/>
        <w:rPr>
          <w:rFonts w:ascii="宋体" w:hAnsi="宋体" w:cs="宋体"/>
          <w:color w:val="auto"/>
          <w:kern w:val="0"/>
          <w:szCs w:val="21"/>
          <w:highlight w:val="none"/>
          <w:lang w:eastAsia="zh-Hans"/>
        </w:rPr>
      </w:pPr>
      <w:r>
        <w:rPr>
          <w:rFonts w:hint="eastAsia" w:ascii="宋体" w:hAnsi="宋体" w:cs="宋体"/>
          <w:color w:val="auto"/>
          <w:kern w:val="0"/>
          <w:szCs w:val="21"/>
          <w:highlight w:val="none"/>
          <w:lang w:val="en-US" w:eastAsia="zh-CN"/>
        </w:rPr>
        <w:t>2.8.1.4</w:t>
      </w:r>
      <w:r>
        <w:rPr>
          <w:rFonts w:ascii="宋体" w:hAnsi="宋体" w:cs="宋体"/>
          <w:color w:val="auto"/>
          <w:kern w:val="0"/>
          <w:szCs w:val="21"/>
          <w:highlight w:val="none"/>
          <w:lang w:eastAsia="zh-Hans"/>
        </w:rPr>
        <w:t>AI评估或护理评估评分结果医生未确认例数及比率。</w:t>
      </w:r>
    </w:p>
    <w:p w14:paraId="4D00801F">
      <w:pPr>
        <w:spacing w:line="312" w:lineRule="auto"/>
        <w:ind w:firstLine="420" w:firstLineChars="200"/>
        <w:rPr>
          <w:rFonts w:hint="eastAsia" w:ascii="宋体" w:hAnsi="宋体" w:cs="宋体"/>
          <w:color w:val="auto"/>
          <w:kern w:val="0"/>
          <w:szCs w:val="21"/>
          <w:highlight w:val="none"/>
          <w:lang w:val="en-US" w:eastAsia="zh-Hans"/>
        </w:rPr>
      </w:pPr>
      <w:r>
        <w:rPr>
          <w:rFonts w:hint="eastAsia" w:ascii="宋体" w:hAnsi="宋体" w:cs="宋体"/>
          <w:color w:val="auto"/>
          <w:kern w:val="0"/>
          <w:szCs w:val="21"/>
          <w:highlight w:val="none"/>
          <w:lang w:val="en-US" w:eastAsia="zh-CN"/>
        </w:rPr>
        <w:t>2.8.2</w:t>
      </w:r>
      <w:r>
        <w:rPr>
          <w:rFonts w:hint="eastAsia" w:ascii="宋体" w:hAnsi="宋体" w:cs="宋体"/>
          <w:color w:val="auto"/>
          <w:kern w:val="0"/>
          <w:szCs w:val="21"/>
          <w:highlight w:val="none"/>
          <w:lang w:val="en-US" w:eastAsia="zh-Hans"/>
        </w:rPr>
        <w:t>预防质量</w:t>
      </w:r>
    </w:p>
    <w:p w14:paraId="3A5C6E64">
      <w:pPr>
        <w:spacing w:line="312" w:lineRule="auto"/>
        <w:ind w:firstLine="420" w:firstLineChars="200"/>
        <w:rPr>
          <w:rFonts w:ascii="宋体" w:hAnsi="宋体" w:cs="宋体"/>
          <w:color w:val="auto"/>
          <w:kern w:val="0"/>
          <w:szCs w:val="21"/>
          <w:highlight w:val="none"/>
          <w:lang w:eastAsia="zh-Hans"/>
        </w:rPr>
      </w:pPr>
      <w:r>
        <w:rPr>
          <w:rFonts w:ascii="宋体" w:hAnsi="宋体" w:cs="宋体"/>
          <w:color w:val="auto"/>
          <w:kern w:val="0"/>
          <w:szCs w:val="21"/>
          <w:highlight w:val="none"/>
          <w:lang w:eastAsia="zh-Hans"/>
        </w:rPr>
        <w:t>支持不少于9种在院/出院患者患者统计数据指标：未实施基础预防例数及比率、未实施药物预防例数及比率、未实施机械预防例数及比率、未机械预防（有出血风险）例数及比率、中高危患者未实施预防（基础、药物或机械）例数及比率、中高危患者未实施预防（药物或机械）例数及比率、不合理预防例数及比率、不合理药物预防例数及比率、不合理机械预防例数及比率。</w:t>
      </w:r>
    </w:p>
    <w:p w14:paraId="4542800C">
      <w:pPr>
        <w:spacing w:line="312" w:lineRule="auto"/>
        <w:ind w:firstLine="420" w:firstLineChars="200"/>
        <w:rPr>
          <w:rFonts w:ascii="宋体" w:hAnsi="宋体" w:cs="宋体"/>
          <w:color w:val="auto"/>
          <w:kern w:val="0"/>
          <w:szCs w:val="21"/>
          <w:highlight w:val="none"/>
          <w:lang w:eastAsia="zh-Hans"/>
        </w:rPr>
      </w:pPr>
      <w:r>
        <w:rPr>
          <w:rFonts w:hint="eastAsia" w:ascii="宋体" w:hAnsi="宋体" w:cs="宋体"/>
          <w:color w:val="auto"/>
          <w:kern w:val="0"/>
          <w:szCs w:val="21"/>
          <w:highlight w:val="none"/>
          <w:lang w:val="en-US" w:eastAsia="zh-CN"/>
        </w:rPr>
        <w:t>2.8.3</w:t>
      </w:r>
      <w:r>
        <w:rPr>
          <w:rFonts w:ascii="宋体" w:hAnsi="宋体" w:cs="宋体"/>
          <w:color w:val="auto"/>
          <w:kern w:val="0"/>
          <w:szCs w:val="21"/>
          <w:highlight w:val="none"/>
          <w:lang w:eastAsia="zh-Hans"/>
        </w:rPr>
        <w:t>诊断质量</w:t>
      </w:r>
    </w:p>
    <w:p w14:paraId="518DAF47">
      <w:pPr>
        <w:spacing w:line="312" w:lineRule="auto"/>
        <w:ind w:firstLine="420" w:firstLineChars="200"/>
        <w:rPr>
          <w:rFonts w:ascii="宋体" w:hAnsi="宋体" w:cs="宋体"/>
          <w:color w:val="auto"/>
          <w:kern w:val="0"/>
          <w:szCs w:val="21"/>
          <w:highlight w:val="none"/>
          <w:lang w:eastAsia="zh-Hans"/>
        </w:rPr>
      </w:pPr>
      <w:r>
        <w:rPr>
          <w:rFonts w:ascii="宋体" w:hAnsi="宋体" w:cs="宋体"/>
          <w:color w:val="auto"/>
          <w:kern w:val="0"/>
          <w:szCs w:val="21"/>
          <w:highlight w:val="none"/>
          <w:lang w:eastAsia="zh-Hans"/>
        </w:rPr>
        <w:t>支持不少于4种统计数据指标：出院患者未做DVT影像检查比率、出院患者未做PE影像检查比率、中高危患者未做DVT影像检查比率、中高危患者未做PE影像检查比率。</w:t>
      </w:r>
    </w:p>
    <w:p w14:paraId="22761587">
      <w:pPr>
        <w:spacing w:line="312" w:lineRule="auto"/>
        <w:ind w:firstLine="420" w:firstLineChars="200"/>
        <w:rPr>
          <w:rFonts w:ascii="宋体" w:hAnsi="宋体" w:cs="宋体"/>
          <w:color w:val="auto"/>
          <w:kern w:val="0"/>
          <w:szCs w:val="21"/>
          <w:highlight w:val="none"/>
          <w:lang w:eastAsia="zh-Hans"/>
        </w:rPr>
      </w:pPr>
      <w:r>
        <w:rPr>
          <w:rFonts w:hint="eastAsia" w:ascii="宋体" w:hAnsi="宋体" w:cs="宋体"/>
          <w:color w:val="auto"/>
          <w:kern w:val="0"/>
          <w:szCs w:val="21"/>
          <w:highlight w:val="none"/>
          <w:lang w:val="en-US" w:eastAsia="zh-CN"/>
        </w:rPr>
        <w:t>2.8.4</w:t>
      </w:r>
      <w:r>
        <w:rPr>
          <w:rFonts w:ascii="宋体" w:hAnsi="宋体" w:cs="宋体"/>
          <w:color w:val="auto"/>
          <w:kern w:val="0"/>
          <w:szCs w:val="21"/>
          <w:highlight w:val="none"/>
          <w:lang w:eastAsia="zh-Hans"/>
        </w:rPr>
        <w:t>治疗质量</w:t>
      </w:r>
    </w:p>
    <w:p w14:paraId="2A5651B1">
      <w:pPr>
        <w:spacing w:line="312" w:lineRule="auto"/>
        <w:ind w:firstLine="420" w:firstLineChars="200"/>
        <w:rPr>
          <w:rFonts w:ascii="宋体" w:hAnsi="宋体" w:cs="宋体"/>
          <w:color w:val="auto"/>
          <w:kern w:val="0"/>
          <w:szCs w:val="21"/>
          <w:highlight w:val="none"/>
          <w:lang w:eastAsia="zh-Hans"/>
        </w:rPr>
      </w:pPr>
      <w:r>
        <w:rPr>
          <w:rFonts w:ascii="宋体" w:hAnsi="宋体" w:cs="宋体"/>
          <w:color w:val="auto"/>
          <w:kern w:val="0"/>
          <w:szCs w:val="21"/>
          <w:highlight w:val="none"/>
          <w:lang w:eastAsia="zh-Hans"/>
        </w:rPr>
        <w:t>支持不少于6种统计数据指标：所有VTE患者未规范治疗比率、所有VTE患者住院期间未实施抗凝治疗比率、所有VTE患者住院期间未实施溶栓治疗比率、所有VTE患者住院期间未实施介入治疗比率、所有VTE患者住院期间未实施手术治疗比率、所有VTE患者出院医嘱未带抗凝药比率。</w:t>
      </w:r>
    </w:p>
    <w:p w14:paraId="3528AA3B">
      <w:pPr>
        <w:spacing w:line="312" w:lineRule="auto"/>
        <w:ind w:firstLine="420" w:firstLineChars="200"/>
        <w:rPr>
          <w:rFonts w:ascii="宋体" w:hAnsi="宋体" w:cs="宋体"/>
          <w:color w:val="auto"/>
          <w:kern w:val="0"/>
          <w:szCs w:val="21"/>
          <w:highlight w:val="none"/>
          <w:lang w:eastAsia="zh-Hans"/>
        </w:rPr>
      </w:pPr>
      <w:r>
        <w:rPr>
          <w:rFonts w:hint="eastAsia" w:ascii="宋体" w:hAnsi="宋体" w:cs="宋体"/>
          <w:color w:val="auto"/>
          <w:kern w:val="0"/>
          <w:szCs w:val="21"/>
          <w:highlight w:val="none"/>
          <w:lang w:val="en-US" w:eastAsia="zh-CN"/>
        </w:rPr>
        <w:t>2.8.5</w:t>
      </w:r>
      <w:r>
        <w:rPr>
          <w:rFonts w:ascii="宋体" w:hAnsi="宋体" w:cs="宋体"/>
          <w:color w:val="auto"/>
          <w:kern w:val="0"/>
          <w:szCs w:val="21"/>
          <w:highlight w:val="none"/>
          <w:lang w:eastAsia="zh-Hans"/>
        </w:rPr>
        <w:t>随访质量</w:t>
      </w:r>
    </w:p>
    <w:p w14:paraId="1D5D1BF0">
      <w:pPr>
        <w:spacing w:line="312" w:lineRule="auto"/>
        <w:ind w:firstLine="420" w:firstLineChars="200"/>
        <w:rPr>
          <w:rFonts w:hint="default" w:ascii="宋体" w:hAnsi="宋体" w:eastAsia="宋体" w:cs="宋体"/>
          <w:sz w:val="22"/>
          <w:lang w:val="en-US" w:eastAsia="zh-CN"/>
        </w:rPr>
      </w:pPr>
      <w:r>
        <w:rPr>
          <w:rFonts w:ascii="宋体" w:hAnsi="宋体" w:cs="宋体"/>
          <w:color w:val="auto"/>
          <w:kern w:val="0"/>
          <w:szCs w:val="21"/>
          <w:highlight w:val="none"/>
          <w:lang w:eastAsia="zh-Hans"/>
        </w:rPr>
        <w:t>支持不少于2种统计数据指标：未完成全周期随访比率、3个月内未进行随访比率。</w:t>
      </w:r>
    </w:p>
    <w:p w14:paraId="6ED9204F">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rPr>
      </w:pPr>
      <w:r>
        <w:rPr>
          <w:rFonts w:hint="eastAsia" w:ascii="宋体" w:hAnsi="宋体" w:eastAsia="宋体" w:cs="宋体"/>
          <w:sz w:val="22"/>
        </w:rPr>
        <w:t>2.9</w:t>
      </w:r>
      <w:r>
        <w:rPr>
          <w:rFonts w:hint="eastAsia" w:ascii="宋体" w:hAnsi="宋体" w:eastAsia="宋体" w:cs="宋体"/>
          <w:sz w:val="22"/>
          <w:lang w:val="en-US" w:eastAsia="zh-CN"/>
        </w:rPr>
        <w:t>是否</w:t>
      </w:r>
      <w:r>
        <w:rPr>
          <w:rFonts w:hint="eastAsia" w:ascii="宋体" w:hAnsi="宋体" w:eastAsia="宋体" w:cs="宋体"/>
          <w:sz w:val="22"/>
        </w:rPr>
        <w:t>支持全国VTE防治能力建设项目办公室的质控数据填报要求设计统计项目；</w:t>
      </w:r>
      <w:r>
        <w:rPr>
          <w:rFonts w:hint="eastAsia" w:ascii="宋体" w:hAnsi="宋体" w:eastAsia="宋体" w:cs="宋体"/>
          <w:sz w:val="22"/>
          <w:lang w:val="en-US" w:eastAsia="zh-CN"/>
        </w:rPr>
        <w:t>请投标人自报</w:t>
      </w:r>
      <w:r>
        <w:rPr>
          <w:rFonts w:hint="eastAsia" w:ascii="宋体" w:hAnsi="宋体" w:eastAsia="宋体" w:cs="宋体"/>
          <w:sz w:val="22"/>
        </w:rPr>
        <w:t>。</w:t>
      </w:r>
    </w:p>
    <w:p w14:paraId="4631C718">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rPr>
      </w:pPr>
      <w:r>
        <w:rPr>
          <w:rFonts w:hint="eastAsia" w:ascii="宋体" w:hAnsi="宋体" w:eastAsia="宋体" w:cs="宋体"/>
          <w:sz w:val="22"/>
        </w:rPr>
        <w:t>★2.10</w:t>
      </w:r>
      <w:r>
        <w:rPr>
          <w:rFonts w:hint="eastAsia" w:ascii="宋体" w:hAnsi="宋体" w:eastAsia="宋体" w:cs="宋体"/>
          <w:sz w:val="22"/>
          <w:lang w:val="en-US" w:eastAsia="zh-CN"/>
        </w:rPr>
        <w:t>系统支持</w:t>
      </w:r>
      <w:r>
        <w:rPr>
          <w:rFonts w:hint="eastAsia" w:ascii="宋体" w:hAnsi="宋体" w:eastAsia="宋体" w:cs="宋体"/>
          <w:sz w:val="22"/>
        </w:rPr>
        <w:t>VTE不良事件不少于9种类型（大出血、过敏反应等）、不少于6种原因分类；VTE死亡事件支持不少于2种主因类型（DVT、PTE主因死亡）；支持按科室、姓名、患者唯一号等多维度查找医疗事件。</w:t>
      </w:r>
    </w:p>
    <w:p w14:paraId="784CAB12">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rPr>
      </w:pPr>
      <w:r>
        <w:rPr>
          <w:rFonts w:hint="eastAsia" w:ascii="宋体" w:hAnsi="宋体" w:eastAsia="宋体" w:cs="宋体"/>
          <w:sz w:val="22"/>
        </w:rPr>
        <w:t>2.11</w:t>
      </w:r>
      <w:r>
        <w:rPr>
          <w:rFonts w:hint="eastAsia" w:ascii="宋体" w:hAnsi="宋体" w:eastAsia="宋体" w:cs="宋体"/>
          <w:sz w:val="22"/>
          <w:lang w:val="en-US" w:eastAsia="zh-CN"/>
        </w:rPr>
        <w:t>系统支持</w:t>
      </w:r>
      <w:r>
        <w:rPr>
          <w:rFonts w:hint="eastAsia" w:ascii="宋体" w:hAnsi="宋体" w:eastAsia="宋体" w:cs="宋体"/>
          <w:sz w:val="22"/>
        </w:rPr>
        <w:t>以全息图形式展示患者VTE防治全过程，包含住院进程、风险评估、预防措施、检查治疗等不少于13个节点的变化数据曲线，实现全程可追溯。</w:t>
      </w:r>
    </w:p>
    <w:p w14:paraId="4A40E3DD">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rPr>
      </w:pPr>
      <w:r>
        <w:rPr>
          <w:rFonts w:hint="eastAsia" w:ascii="宋体" w:hAnsi="宋体" w:eastAsia="宋体" w:cs="宋体"/>
          <w:sz w:val="22"/>
        </w:rPr>
        <w:t>2.12</w:t>
      </w:r>
      <w:r>
        <w:rPr>
          <w:rFonts w:hint="eastAsia" w:ascii="宋体" w:hAnsi="宋体" w:eastAsia="宋体" w:cs="宋体"/>
          <w:sz w:val="22"/>
          <w:lang w:val="en-US" w:eastAsia="zh-CN"/>
        </w:rPr>
        <w:t>系统</w:t>
      </w:r>
      <w:r>
        <w:rPr>
          <w:rFonts w:hint="eastAsia" w:ascii="宋体" w:hAnsi="宋体" w:eastAsia="宋体" w:cs="宋体"/>
          <w:sz w:val="22"/>
        </w:rPr>
        <w:t>支持存储、查看所有VTE相关行业指南、临床规范；支持文档上传、下载，可根据中文名称、文献年份、专业进行检索，方便医护人员查阅。</w:t>
      </w:r>
    </w:p>
    <w:p w14:paraId="2E667DED">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rPr>
      </w:pPr>
      <w:r>
        <w:rPr>
          <w:rFonts w:hint="eastAsia" w:ascii="宋体" w:hAnsi="宋体" w:eastAsia="宋体" w:cs="宋体"/>
          <w:sz w:val="22"/>
        </w:rPr>
        <w:t>2.14</w:t>
      </w:r>
      <w:r>
        <w:rPr>
          <w:rFonts w:hint="eastAsia" w:ascii="宋体" w:hAnsi="宋体" w:eastAsia="宋体" w:cs="宋体"/>
          <w:sz w:val="22"/>
          <w:lang w:val="en-US" w:eastAsia="zh-CN"/>
        </w:rPr>
        <w:t>系统</w:t>
      </w:r>
      <w:r>
        <w:rPr>
          <w:rFonts w:hint="eastAsia" w:ascii="宋体" w:hAnsi="宋体" w:eastAsia="宋体" w:cs="宋体"/>
          <w:sz w:val="22"/>
        </w:rPr>
        <w:t>支持根据全国VTE防治能力建设项目工作手册要求，配置标准随访问卷模板；自动根据患者VTE状态、出院时间生成随访任务，可按多维度筛选患者；</w:t>
      </w:r>
    </w:p>
    <w:p w14:paraId="377082B0">
      <w:pPr>
        <w:spacing w:line="312" w:lineRule="auto"/>
        <w:rPr>
          <w:rFonts w:hint="eastAsia" w:ascii="宋体" w:hAnsi="宋体" w:eastAsia="宋体" w:cs="宋体"/>
          <w:sz w:val="22"/>
        </w:rPr>
      </w:pPr>
      <w:r>
        <w:rPr>
          <w:rFonts w:hint="eastAsia" w:ascii="宋体" w:hAnsi="宋体" w:eastAsia="宋体" w:cs="宋体"/>
          <w:sz w:val="22"/>
        </w:rPr>
        <w:t>2.15机械预防执行管理：</w:t>
      </w:r>
    </w:p>
    <w:p w14:paraId="43FB8B6C">
      <w:pPr>
        <w:spacing w:line="312" w:lineRule="auto"/>
        <w:ind w:firstLine="422" w:firstLineChars="200"/>
        <w:rPr>
          <w:rFonts w:hint="eastAsia" w:ascii="宋体" w:hAnsi="宋体" w:cs="宋体"/>
          <w:b/>
          <w:bCs/>
          <w:color w:val="auto"/>
          <w:kern w:val="0"/>
          <w:szCs w:val="21"/>
          <w:highlight w:val="none"/>
          <w:lang w:eastAsia="zh-Hans"/>
        </w:rPr>
      </w:pPr>
      <w:r>
        <w:rPr>
          <w:rFonts w:hint="eastAsia" w:ascii="宋体" w:hAnsi="宋体" w:cs="宋体"/>
          <w:b/>
          <w:bCs/>
          <w:color w:val="auto"/>
          <w:kern w:val="0"/>
          <w:szCs w:val="21"/>
          <w:highlight w:val="none"/>
          <w:lang w:eastAsia="zh-CN"/>
        </w:rPr>
        <w:t>（</w:t>
      </w:r>
      <w:r>
        <w:rPr>
          <w:rFonts w:hint="eastAsia" w:ascii="宋体" w:hAnsi="宋体" w:cs="宋体"/>
          <w:b/>
          <w:bCs/>
          <w:color w:val="auto"/>
          <w:kern w:val="0"/>
          <w:szCs w:val="21"/>
          <w:highlight w:val="none"/>
          <w:lang w:eastAsia="zh-Hans"/>
        </w:rPr>
        <w:t>1</w:t>
      </w:r>
      <w:r>
        <w:rPr>
          <w:rFonts w:hint="eastAsia" w:ascii="宋体" w:hAnsi="宋体" w:cs="宋体"/>
          <w:b/>
          <w:bCs/>
          <w:color w:val="auto"/>
          <w:kern w:val="0"/>
          <w:szCs w:val="21"/>
          <w:highlight w:val="none"/>
          <w:lang w:eastAsia="zh-CN"/>
        </w:rPr>
        <w:t>）</w:t>
      </w:r>
      <w:bookmarkStart w:id="4" w:name="OLE_LINK28"/>
      <w:bookmarkStart w:id="5" w:name="OLE_LINK33"/>
      <w:r>
        <w:rPr>
          <w:rFonts w:hint="eastAsia" w:ascii="宋体" w:hAnsi="宋体" w:eastAsia="宋体" w:cs="宋体"/>
          <w:b/>
          <w:bCs/>
          <w:color w:val="000000"/>
          <w:sz w:val="21"/>
          <w:szCs w:val="21"/>
          <w:highlight w:val="none"/>
          <w:lang w:val="en-US" w:eastAsia="zh-CN"/>
        </w:rPr>
        <w:t>▲</w:t>
      </w:r>
      <w:bookmarkEnd w:id="4"/>
      <w:r>
        <w:rPr>
          <w:rFonts w:hint="eastAsia" w:ascii="宋体" w:hAnsi="宋体" w:cs="宋体"/>
          <w:b/>
          <w:bCs/>
          <w:color w:val="auto"/>
          <w:kern w:val="0"/>
          <w:szCs w:val="21"/>
          <w:highlight w:val="none"/>
          <w:lang w:eastAsia="zh-CN"/>
        </w:rPr>
        <w:t>抗血栓压力</w:t>
      </w:r>
      <w:r>
        <w:rPr>
          <w:rFonts w:hint="eastAsia" w:ascii="宋体" w:hAnsi="宋体" w:cs="宋体"/>
          <w:b/>
          <w:bCs/>
          <w:color w:val="auto"/>
          <w:kern w:val="0"/>
          <w:szCs w:val="21"/>
          <w:highlight w:val="none"/>
          <w:lang w:eastAsia="zh-Hans"/>
        </w:rPr>
        <w:t>袜</w:t>
      </w:r>
      <w:bookmarkEnd w:id="5"/>
      <w:r>
        <w:rPr>
          <w:rFonts w:hint="eastAsia" w:ascii="宋体" w:hAnsi="宋体" w:cs="宋体"/>
          <w:b/>
          <w:bCs/>
          <w:color w:val="auto"/>
          <w:kern w:val="0"/>
          <w:szCs w:val="21"/>
          <w:highlight w:val="none"/>
          <w:lang w:eastAsia="zh-Hans"/>
        </w:rPr>
        <w:t>预防：</w:t>
      </w:r>
    </w:p>
    <w:p w14:paraId="726235E9">
      <w:pPr>
        <w:numPr>
          <w:ilvl w:val="0"/>
          <w:numId w:val="2"/>
        </w:numPr>
        <w:spacing w:line="312" w:lineRule="auto"/>
        <w:ind w:left="0" w:leftChars="0" w:firstLine="420" w:firstLineChars="200"/>
        <w:rPr>
          <w:rFonts w:hint="eastAsia" w:ascii="宋体" w:hAnsi="宋体" w:cs="宋体"/>
          <w:color w:val="auto"/>
          <w:kern w:val="0"/>
          <w:szCs w:val="21"/>
          <w:highlight w:val="none"/>
          <w:lang w:eastAsia="zh-Hans"/>
        </w:rPr>
      </w:pPr>
      <w:r>
        <w:rPr>
          <w:rFonts w:hint="eastAsia" w:ascii="宋体" w:hAnsi="宋体" w:cs="宋体"/>
          <w:color w:val="auto"/>
          <w:kern w:val="0"/>
          <w:szCs w:val="21"/>
          <w:highlight w:val="none"/>
          <w:lang w:eastAsia="zh-Hans"/>
        </w:rPr>
        <w:t>追踪</w:t>
      </w:r>
      <w:r>
        <w:rPr>
          <w:rFonts w:hint="eastAsia" w:ascii="宋体" w:hAnsi="宋体" w:cs="宋体"/>
          <w:color w:val="auto"/>
          <w:kern w:val="0"/>
          <w:szCs w:val="21"/>
          <w:highlight w:val="none"/>
          <w:lang w:eastAsia="zh-CN"/>
        </w:rPr>
        <w:t>抗血栓压力</w:t>
      </w:r>
      <w:r>
        <w:rPr>
          <w:rFonts w:hint="eastAsia" w:ascii="宋体" w:hAnsi="宋体" w:cs="宋体"/>
          <w:color w:val="auto"/>
          <w:kern w:val="0"/>
          <w:szCs w:val="21"/>
          <w:highlight w:val="none"/>
          <w:lang w:eastAsia="zh-Hans"/>
        </w:rPr>
        <w:t>袜预防医嘱：</w:t>
      </w:r>
      <w:r>
        <w:rPr>
          <w:rFonts w:hint="eastAsia" w:ascii="宋体" w:hAnsi="宋体" w:cs="宋体"/>
          <w:color w:val="auto"/>
          <w:kern w:val="0"/>
          <w:szCs w:val="21"/>
          <w:highlight w:val="none"/>
          <w:lang w:val="en-US" w:eastAsia="zh-CN"/>
        </w:rPr>
        <w:t>系统</w:t>
      </w:r>
      <w:r>
        <w:rPr>
          <w:rFonts w:hint="eastAsia" w:ascii="宋体" w:hAnsi="宋体" w:cs="宋体"/>
          <w:color w:val="auto"/>
          <w:kern w:val="0"/>
          <w:szCs w:val="21"/>
          <w:highlight w:val="none"/>
          <w:lang w:eastAsia="zh-Hans"/>
        </w:rPr>
        <w:t>自动检索医嘱数据，</w:t>
      </w:r>
      <w:r>
        <w:rPr>
          <w:rFonts w:hint="eastAsia" w:ascii="宋体" w:hAnsi="宋体" w:cs="宋体"/>
          <w:color w:val="auto"/>
          <w:kern w:val="0"/>
          <w:szCs w:val="21"/>
          <w:highlight w:val="none"/>
          <w:lang w:val="en-US" w:eastAsia="zh-CN"/>
        </w:rPr>
        <w:t>根据抗血栓压力袜</w:t>
      </w:r>
      <w:r>
        <w:rPr>
          <w:rFonts w:hint="eastAsia" w:ascii="宋体" w:hAnsi="宋体" w:cs="宋体"/>
          <w:color w:val="auto"/>
          <w:kern w:val="0"/>
          <w:szCs w:val="21"/>
          <w:highlight w:val="none"/>
          <w:lang w:eastAsia="zh-Hans"/>
        </w:rPr>
        <w:t>医嘱，自动生成相关预防任务。</w:t>
      </w:r>
    </w:p>
    <w:p w14:paraId="39D0DC1D">
      <w:pPr>
        <w:numPr>
          <w:ilvl w:val="0"/>
          <w:numId w:val="2"/>
        </w:numPr>
        <w:spacing w:line="312" w:lineRule="auto"/>
        <w:ind w:left="0" w:leftChars="0" w:firstLine="420" w:firstLineChars="200"/>
        <w:rPr>
          <w:rFonts w:hint="eastAsia" w:ascii="宋体" w:hAnsi="宋体" w:cs="宋体"/>
          <w:color w:val="auto"/>
          <w:kern w:val="0"/>
          <w:szCs w:val="21"/>
          <w:highlight w:val="none"/>
          <w:lang w:eastAsia="zh-Hans"/>
        </w:rPr>
      </w:pPr>
      <w:r>
        <w:rPr>
          <w:rFonts w:hint="eastAsia" w:ascii="宋体" w:hAnsi="宋体" w:cs="宋体"/>
          <w:color w:val="auto"/>
          <w:kern w:val="0"/>
          <w:szCs w:val="21"/>
          <w:highlight w:val="none"/>
          <w:lang w:eastAsia="zh-CN"/>
        </w:rPr>
        <w:t>抗血栓压力</w:t>
      </w:r>
      <w:r>
        <w:rPr>
          <w:rFonts w:hint="eastAsia" w:ascii="宋体" w:hAnsi="宋体" w:cs="宋体"/>
          <w:color w:val="auto"/>
          <w:kern w:val="0"/>
          <w:szCs w:val="21"/>
          <w:highlight w:val="none"/>
          <w:lang w:eastAsia="zh-Hans"/>
        </w:rPr>
        <w:t>袜预防</w:t>
      </w:r>
      <w:r>
        <w:rPr>
          <w:rFonts w:hint="eastAsia" w:ascii="宋体" w:hAnsi="宋体" w:cs="宋体"/>
          <w:color w:val="auto"/>
          <w:kern w:val="0"/>
          <w:szCs w:val="21"/>
          <w:highlight w:val="none"/>
          <w:lang w:val="en-US" w:eastAsia="zh-CN"/>
        </w:rPr>
        <w:t>登陆管理</w:t>
      </w:r>
      <w:r>
        <w:rPr>
          <w:rFonts w:hint="eastAsia" w:ascii="宋体" w:hAnsi="宋体" w:cs="宋体"/>
          <w:color w:val="auto"/>
          <w:kern w:val="0"/>
          <w:szCs w:val="21"/>
          <w:highlight w:val="none"/>
          <w:lang w:eastAsia="zh-Hans"/>
        </w:rPr>
        <w:t>：</w:t>
      </w:r>
      <w:r>
        <w:rPr>
          <w:rFonts w:hint="eastAsia" w:ascii="宋体" w:hAnsi="宋体" w:cs="宋体"/>
          <w:color w:val="auto"/>
          <w:kern w:val="0"/>
          <w:szCs w:val="21"/>
          <w:highlight w:val="none"/>
          <w:lang w:val="en-US" w:eastAsia="zh-CN"/>
        </w:rPr>
        <w:t>在护理PDA</w:t>
      </w:r>
      <w:r>
        <w:rPr>
          <w:rFonts w:hint="eastAsia" w:ascii="宋体" w:hAnsi="宋体" w:cs="宋体"/>
          <w:color w:val="auto"/>
          <w:kern w:val="0"/>
          <w:szCs w:val="21"/>
          <w:highlight w:val="none"/>
          <w:lang w:eastAsia="zh-Hans"/>
        </w:rPr>
        <w:t>端中</w:t>
      </w:r>
      <w:r>
        <w:rPr>
          <w:rFonts w:hint="eastAsia" w:ascii="宋体" w:hAnsi="宋体" w:cs="宋体"/>
          <w:color w:val="auto"/>
          <w:kern w:val="0"/>
          <w:szCs w:val="21"/>
          <w:highlight w:val="none"/>
          <w:lang w:val="en-US" w:eastAsia="zh-CN"/>
        </w:rPr>
        <w:t>安装</w:t>
      </w:r>
      <w:r>
        <w:rPr>
          <w:rFonts w:hint="eastAsia" w:ascii="宋体" w:hAnsi="宋体" w:cs="宋体"/>
          <w:color w:val="auto"/>
          <w:kern w:val="0"/>
          <w:szCs w:val="21"/>
          <w:highlight w:val="none"/>
          <w:lang w:eastAsia="zh-CN"/>
        </w:rPr>
        <w:t>抗血栓压力</w:t>
      </w:r>
      <w:r>
        <w:rPr>
          <w:rFonts w:hint="eastAsia" w:ascii="宋体" w:hAnsi="宋体" w:cs="宋体"/>
          <w:color w:val="auto"/>
          <w:kern w:val="0"/>
          <w:szCs w:val="21"/>
          <w:highlight w:val="none"/>
          <w:lang w:eastAsia="zh-Hans"/>
        </w:rPr>
        <w:t>袜预防执行</w:t>
      </w:r>
      <w:r>
        <w:rPr>
          <w:rFonts w:hint="eastAsia" w:ascii="宋体" w:hAnsi="宋体" w:cs="宋体"/>
          <w:color w:val="auto"/>
          <w:kern w:val="0"/>
          <w:szCs w:val="21"/>
          <w:highlight w:val="none"/>
          <w:lang w:val="en-US" w:eastAsia="zh-CN"/>
        </w:rPr>
        <w:t>管理软件</w:t>
      </w:r>
      <w:r>
        <w:rPr>
          <w:rFonts w:hint="eastAsia" w:ascii="宋体" w:hAnsi="宋体" w:cs="宋体"/>
          <w:color w:val="auto"/>
          <w:kern w:val="0"/>
          <w:szCs w:val="21"/>
          <w:highlight w:val="none"/>
          <w:lang w:eastAsia="zh-Hans"/>
        </w:rPr>
        <w:t>，医护操作相关功能时，可根据PDA当前护理账户自动登录。</w:t>
      </w:r>
    </w:p>
    <w:p w14:paraId="509CD405">
      <w:pPr>
        <w:numPr>
          <w:ilvl w:val="0"/>
          <w:numId w:val="2"/>
        </w:numPr>
        <w:spacing w:line="312" w:lineRule="auto"/>
        <w:ind w:left="0" w:leftChars="0" w:firstLine="420" w:firstLineChars="200"/>
        <w:rPr>
          <w:rFonts w:hint="eastAsia" w:ascii="宋体" w:hAnsi="宋体" w:cs="宋体"/>
          <w:color w:val="auto"/>
          <w:kern w:val="0"/>
          <w:szCs w:val="21"/>
          <w:highlight w:val="none"/>
          <w:lang w:eastAsia="zh-Hans"/>
        </w:rPr>
      </w:pPr>
      <w:r>
        <w:rPr>
          <w:rFonts w:hint="eastAsia" w:ascii="宋体" w:hAnsi="宋体" w:cs="宋体"/>
          <w:color w:val="auto"/>
          <w:kern w:val="0"/>
          <w:szCs w:val="21"/>
          <w:highlight w:val="none"/>
          <w:lang w:eastAsia="zh-CN"/>
        </w:rPr>
        <w:t>抗血栓压力</w:t>
      </w:r>
      <w:r>
        <w:rPr>
          <w:rFonts w:hint="eastAsia" w:ascii="宋体" w:hAnsi="宋体" w:cs="宋体"/>
          <w:color w:val="auto"/>
          <w:kern w:val="0"/>
          <w:szCs w:val="21"/>
          <w:highlight w:val="none"/>
          <w:lang w:eastAsia="zh-Hans"/>
        </w:rPr>
        <w:t>袜预防执行</w:t>
      </w:r>
      <w:r>
        <w:rPr>
          <w:rFonts w:hint="eastAsia" w:ascii="宋体" w:hAnsi="宋体" w:cs="宋体"/>
          <w:color w:val="auto"/>
          <w:kern w:val="0"/>
          <w:szCs w:val="21"/>
          <w:highlight w:val="none"/>
          <w:lang w:val="en-US" w:eastAsia="zh-CN"/>
        </w:rPr>
        <w:t>管理</w:t>
      </w:r>
      <w:r>
        <w:rPr>
          <w:rFonts w:hint="eastAsia" w:ascii="宋体" w:hAnsi="宋体" w:cs="宋体"/>
          <w:color w:val="auto"/>
          <w:kern w:val="0"/>
          <w:szCs w:val="21"/>
          <w:highlight w:val="none"/>
          <w:lang w:eastAsia="zh-Hans"/>
        </w:rPr>
        <w:t>：</w:t>
      </w:r>
      <w:r>
        <w:rPr>
          <w:rFonts w:hint="eastAsia" w:ascii="宋体" w:hAnsi="宋体" w:cs="宋体"/>
          <w:color w:val="auto"/>
          <w:kern w:val="0"/>
          <w:szCs w:val="21"/>
          <w:highlight w:val="none"/>
          <w:lang w:val="en-US" w:eastAsia="zh-CN"/>
        </w:rPr>
        <w:t>提供5双</w:t>
      </w:r>
      <w:r>
        <w:rPr>
          <w:rFonts w:hint="eastAsia" w:ascii="宋体" w:hAnsi="宋体" w:eastAsia="宋体" w:cs="宋体"/>
          <w:color w:val="auto"/>
          <w:kern w:val="0"/>
          <w:szCs w:val="21"/>
          <w:highlight w:val="none"/>
          <w:lang w:val="en-US" w:eastAsia="zh-CN"/>
        </w:rPr>
        <w:t>抗血栓压力</w:t>
      </w:r>
      <w:r>
        <w:rPr>
          <w:rFonts w:hint="eastAsia" w:ascii="宋体" w:hAnsi="宋体" w:eastAsia="宋体" w:cs="宋体"/>
          <w:color w:val="auto"/>
          <w:kern w:val="0"/>
          <w:szCs w:val="21"/>
          <w:highlight w:val="none"/>
          <w:lang w:val="en-US" w:eastAsia="zh-Hans"/>
        </w:rPr>
        <w:t>袜</w:t>
      </w:r>
      <w:r>
        <w:rPr>
          <w:rFonts w:hint="eastAsia" w:ascii="宋体" w:hAnsi="宋体" w:eastAsia="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实现抗血栓压力袜全数字预防管理。</w:t>
      </w:r>
    </w:p>
    <w:p w14:paraId="55121D2B">
      <w:pPr>
        <w:spacing w:line="312" w:lineRule="auto"/>
        <w:ind w:firstLine="422" w:firstLineChars="200"/>
        <w:rPr>
          <w:rFonts w:hint="eastAsia" w:ascii="宋体" w:hAnsi="宋体" w:cs="宋体"/>
          <w:b/>
          <w:bCs/>
          <w:color w:val="auto"/>
          <w:kern w:val="0"/>
          <w:szCs w:val="21"/>
          <w:highlight w:val="none"/>
          <w:lang w:eastAsia="zh-Hans"/>
        </w:rPr>
      </w:pPr>
      <w:r>
        <w:rPr>
          <w:rFonts w:hint="eastAsia" w:ascii="宋体" w:hAnsi="宋体" w:cs="宋体"/>
          <w:b/>
          <w:bCs/>
          <w:color w:val="auto"/>
          <w:kern w:val="0"/>
          <w:szCs w:val="21"/>
          <w:highlight w:val="none"/>
          <w:lang w:eastAsia="zh-CN"/>
        </w:rPr>
        <w:t>（</w:t>
      </w:r>
      <w:r>
        <w:rPr>
          <w:rFonts w:hint="eastAsia" w:ascii="宋体" w:hAnsi="宋体" w:cs="宋体"/>
          <w:b/>
          <w:bCs/>
          <w:color w:val="auto"/>
          <w:kern w:val="0"/>
          <w:szCs w:val="21"/>
          <w:highlight w:val="none"/>
          <w:lang w:eastAsia="zh-Hans"/>
        </w:rPr>
        <w:t>2</w:t>
      </w:r>
      <w:r>
        <w:rPr>
          <w:rFonts w:hint="eastAsia" w:ascii="宋体" w:hAnsi="宋体" w:cs="宋体"/>
          <w:b/>
          <w:bCs/>
          <w:color w:val="auto"/>
          <w:kern w:val="0"/>
          <w:szCs w:val="21"/>
          <w:highlight w:val="none"/>
          <w:lang w:eastAsia="zh-CN"/>
        </w:rPr>
        <w:t>）</w:t>
      </w:r>
      <w:r>
        <w:rPr>
          <w:rFonts w:hint="eastAsia" w:ascii="宋体" w:hAnsi="宋体" w:cs="宋体"/>
          <w:color w:val="auto"/>
          <w:kern w:val="0"/>
          <w:szCs w:val="21"/>
          <w:highlight w:val="none"/>
          <w:lang w:val="en-US" w:eastAsia="zh-CN"/>
        </w:rPr>
        <w:t>★</w:t>
      </w:r>
      <w:r>
        <w:rPr>
          <w:rFonts w:hint="eastAsia" w:ascii="宋体" w:hAnsi="宋体" w:cs="宋体"/>
          <w:b/>
          <w:bCs/>
          <w:color w:val="auto"/>
          <w:kern w:val="0"/>
          <w:szCs w:val="21"/>
          <w:highlight w:val="none"/>
          <w:lang w:eastAsia="zh-Hans"/>
        </w:rPr>
        <w:t>机械间歇充气压力抗栓系统</w:t>
      </w:r>
      <w:r>
        <w:rPr>
          <w:rFonts w:hint="eastAsia" w:ascii="宋体" w:hAnsi="宋体" w:cs="宋体"/>
          <w:b/>
          <w:bCs/>
          <w:color w:val="auto"/>
          <w:kern w:val="0"/>
          <w:szCs w:val="21"/>
          <w:highlight w:val="none"/>
          <w:lang w:val="en-US" w:eastAsia="zh-CN"/>
        </w:rPr>
        <w:t>设备</w:t>
      </w:r>
      <w:r>
        <w:rPr>
          <w:rFonts w:hint="eastAsia" w:ascii="宋体" w:hAnsi="宋体" w:cs="宋体"/>
          <w:b/>
          <w:bCs/>
          <w:color w:val="auto"/>
          <w:kern w:val="0"/>
          <w:szCs w:val="21"/>
          <w:highlight w:val="none"/>
          <w:lang w:eastAsia="zh-Hans"/>
        </w:rPr>
        <w:t>预防：</w:t>
      </w:r>
    </w:p>
    <w:p w14:paraId="141BDC0E">
      <w:pPr>
        <w:numPr>
          <w:ilvl w:val="0"/>
          <w:numId w:val="3"/>
        </w:numPr>
        <w:spacing w:line="312" w:lineRule="auto"/>
        <w:ind w:left="0" w:leftChars="0" w:firstLine="420" w:firstLineChars="200"/>
        <w:rPr>
          <w:rFonts w:hint="eastAsia" w:ascii="宋体" w:hAnsi="宋体" w:cs="宋体"/>
          <w:color w:val="auto"/>
          <w:kern w:val="0"/>
          <w:szCs w:val="21"/>
          <w:highlight w:val="none"/>
          <w:lang w:eastAsia="zh-Hans"/>
        </w:rPr>
      </w:pPr>
      <w:r>
        <w:rPr>
          <w:rFonts w:hint="eastAsia" w:ascii="宋体" w:hAnsi="宋体" w:cs="宋体"/>
          <w:color w:val="auto"/>
          <w:kern w:val="0"/>
          <w:szCs w:val="21"/>
          <w:highlight w:val="none"/>
          <w:lang w:eastAsia="zh-Hans"/>
        </w:rPr>
        <w:t>自动追踪预防医嘱：自动执行医嘱匹配，发现有机械</w:t>
      </w:r>
      <w:r>
        <w:rPr>
          <w:rFonts w:hint="eastAsia" w:ascii="宋体" w:hAnsi="宋体" w:cs="宋体"/>
          <w:color w:val="auto"/>
          <w:kern w:val="0"/>
          <w:szCs w:val="21"/>
          <w:highlight w:val="none"/>
          <w:lang w:val="en-US" w:eastAsia="zh-CN"/>
        </w:rPr>
        <w:t>IPC</w:t>
      </w:r>
      <w:r>
        <w:rPr>
          <w:rFonts w:hint="eastAsia" w:ascii="宋体" w:hAnsi="宋体" w:cs="宋体"/>
          <w:color w:val="auto"/>
          <w:kern w:val="0"/>
          <w:szCs w:val="21"/>
          <w:highlight w:val="none"/>
          <w:lang w:eastAsia="zh-CN"/>
        </w:rPr>
        <w:t>设备</w:t>
      </w:r>
      <w:r>
        <w:rPr>
          <w:rFonts w:hint="eastAsia" w:ascii="宋体" w:hAnsi="宋体" w:cs="宋体"/>
          <w:color w:val="auto"/>
          <w:kern w:val="0"/>
          <w:szCs w:val="21"/>
          <w:highlight w:val="none"/>
          <w:lang w:eastAsia="zh-Hans"/>
        </w:rPr>
        <w:t>预防相关医嘱后，系统根据医嘱描述生成相关预防任务。</w:t>
      </w:r>
    </w:p>
    <w:p w14:paraId="15EF180F">
      <w:pPr>
        <w:numPr>
          <w:ilvl w:val="0"/>
          <w:numId w:val="3"/>
        </w:numPr>
        <w:spacing w:line="312" w:lineRule="auto"/>
        <w:ind w:left="0" w:leftChars="0" w:firstLine="420" w:firstLineChars="200"/>
        <w:rPr>
          <w:rFonts w:hint="eastAsia" w:ascii="宋体" w:hAnsi="宋体" w:cs="宋体"/>
          <w:color w:val="auto"/>
          <w:kern w:val="0"/>
          <w:szCs w:val="21"/>
          <w:highlight w:val="none"/>
          <w:lang w:eastAsia="zh-Hans"/>
        </w:rPr>
      </w:pPr>
      <w:r>
        <w:rPr>
          <w:rFonts w:hint="eastAsia" w:ascii="宋体" w:hAnsi="宋体" w:cs="宋体"/>
          <w:color w:val="auto"/>
          <w:kern w:val="0"/>
          <w:szCs w:val="21"/>
          <w:highlight w:val="none"/>
          <w:lang w:eastAsia="zh-Hans"/>
        </w:rPr>
        <w:t>机械</w:t>
      </w:r>
      <w:r>
        <w:rPr>
          <w:rFonts w:hint="eastAsia" w:ascii="宋体" w:hAnsi="宋体" w:cs="宋体"/>
          <w:color w:val="auto"/>
          <w:kern w:val="0"/>
          <w:szCs w:val="21"/>
          <w:highlight w:val="none"/>
          <w:lang w:eastAsia="zh-CN"/>
        </w:rPr>
        <w:t>设备</w:t>
      </w:r>
      <w:r>
        <w:rPr>
          <w:rFonts w:hint="eastAsia" w:ascii="宋体" w:hAnsi="宋体" w:cs="宋体"/>
          <w:color w:val="auto"/>
          <w:kern w:val="0"/>
          <w:szCs w:val="21"/>
          <w:highlight w:val="none"/>
          <w:lang w:eastAsia="zh-Hans"/>
        </w:rPr>
        <w:t>自动同步预防任务：支持机械</w:t>
      </w:r>
      <w:r>
        <w:rPr>
          <w:rFonts w:hint="eastAsia" w:ascii="宋体" w:hAnsi="宋体" w:cs="宋体"/>
          <w:color w:val="auto"/>
          <w:kern w:val="0"/>
          <w:szCs w:val="21"/>
          <w:highlight w:val="none"/>
          <w:lang w:val="en-US" w:eastAsia="zh-CN"/>
        </w:rPr>
        <w:t>IPC</w:t>
      </w:r>
      <w:r>
        <w:rPr>
          <w:rFonts w:hint="eastAsia" w:ascii="宋体" w:hAnsi="宋体" w:cs="宋体"/>
          <w:color w:val="auto"/>
          <w:kern w:val="0"/>
          <w:szCs w:val="21"/>
          <w:highlight w:val="none"/>
          <w:lang w:eastAsia="zh-CN"/>
        </w:rPr>
        <w:t>设备</w:t>
      </w:r>
      <w:r>
        <w:rPr>
          <w:rFonts w:hint="eastAsia" w:ascii="宋体" w:hAnsi="宋体" w:cs="宋体"/>
          <w:color w:val="auto"/>
          <w:kern w:val="0"/>
          <w:szCs w:val="21"/>
          <w:highlight w:val="none"/>
          <w:lang w:val="en-US" w:eastAsia="zh-CN"/>
        </w:rPr>
        <w:t>按</w:t>
      </w:r>
      <w:r>
        <w:rPr>
          <w:rFonts w:hint="eastAsia" w:ascii="宋体" w:hAnsi="宋体" w:cs="宋体"/>
          <w:color w:val="auto"/>
          <w:kern w:val="0"/>
          <w:szCs w:val="21"/>
          <w:highlight w:val="none"/>
          <w:lang w:eastAsia="zh-Hans"/>
        </w:rPr>
        <w:t>科室自动同步后台预防任务。</w:t>
      </w:r>
    </w:p>
    <w:p w14:paraId="4D6709DF">
      <w:pPr>
        <w:numPr>
          <w:ilvl w:val="0"/>
          <w:numId w:val="3"/>
        </w:numPr>
        <w:spacing w:line="312" w:lineRule="auto"/>
        <w:ind w:left="0" w:leftChars="0" w:firstLine="420" w:firstLineChars="200"/>
        <w:rPr>
          <w:rFonts w:hint="eastAsia" w:ascii="宋体" w:hAnsi="宋体" w:cs="宋体"/>
          <w:color w:val="auto"/>
          <w:kern w:val="0"/>
          <w:szCs w:val="21"/>
          <w:highlight w:val="none"/>
          <w:lang w:eastAsia="zh-Hans"/>
        </w:rPr>
      </w:pPr>
      <w:r>
        <w:rPr>
          <w:rFonts w:hint="eastAsia" w:ascii="宋体" w:hAnsi="宋体" w:cs="宋体"/>
          <w:color w:val="auto"/>
          <w:kern w:val="0"/>
          <w:szCs w:val="21"/>
          <w:highlight w:val="none"/>
          <w:lang w:eastAsia="zh-Hans"/>
        </w:rPr>
        <w:t>机械</w:t>
      </w:r>
      <w:r>
        <w:rPr>
          <w:rFonts w:hint="eastAsia" w:ascii="宋体" w:hAnsi="宋体" w:cs="宋体"/>
          <w:color w:val="auto"/>
          <w:kern w:val="0"/>
          <w:szCs w:val="21"/>
          <w:highlight w:val="none"/>
          <w:lang w:eastAsia="zh-CN"/>
        </w:rPr>
        <w:t>设备</w:t>
      </w:r>
      <w:r>
        <w:rPr>
          <w:rFonts w:hint="eastAsia" w:ascii="宋体" w:hAnsi="宋体" w:cs="宋体"/>
          <w:color w:val="auto"/>
          <w:kern w:val="0"/>
          <w:szCs w:val="21"/>
          <w:highlight w:val="none"/>
          <w:lang w:eastAsia="zh-Hans"/>
        </w:rPr>
        <w:t>一键执行任务：支持</w:t>
      </w:r>
      <w:r>
        <w:rPr>
          <w:rFonts w:hint="eastAsia" w:ascii="宋体" w:hAnsi="宋体" w:cs="宋体"/>
          <w:color w:val="auto"/>
          <w:kern w:val="0"/>
          <w:szCs w:val="21"/>
          <w:highlight w:val="none"/>
          <w:lang w:val="en-US" w:eastAsia="zh-CN"/>
        </w:rPr>
        <w:t>物联网</w:t>
      </w:r>
      <w:r>
        <w:rPr>
          <w:rFonts w:hint="eastAsia" w:ascii="宋体" w:hAnsi="宋体" w:cs="宋体"/>
          <w:color w:val="auto"/>
          <w:kern w:val="0"/>
          <w:szCs w:val="21"/>
          <w:highlight w:val="none"/>
          <w:lang w:eastAsia="zh-Hans"/>
        </w:rPr>
        <w:t>机械</w:t>
      </w:r>
      <w:r>
        <w:rPr>
          <w:rFonts w:hint="eastAsia" w:ascii="宋体" w:hAnsi="宋体" w:cs="宋体"/>
          <w:color w:val="auto"/>
          <w:kern w:val="0"/>
          <w:szCs w:val="21"/>
          <w:highlight w:val="none"/>
          <w:lang w:val="en-US" w:eastAsia="zh-CN"/>
        </w:rPr>
        <w:t>IPC</w:t>
      </w:r>
      <w:r>
        <w:rPr>
          <w:rFonts w:hint="eastAsia" w:ascii="宋体" w:hAnsi="宋体" w:cs="宋体"/>
          <w:color w:val="auto"/>
          <w:kern w:val="0"/>
          <w:szCs w:val="21"/>
          <w:highlight w:val="none"/>
          <w:lang w:eastAsia="zh-CN"/>
        </w:rPr>
        <w:t>设备</w:t>
      </w:r>
      <w:r>
        <w:rPr>
          <w:rFonts w:hint="eastAsia" w:ascii="宋体" w:hAnsi="宋体" w:cs="宋体"/>
          <w:color w:val="auto"/>
          <w:kern w:val="0"/>
          <w:szCs w:val="21"/>
          <w:highlight w:val="none"/>
          <w:lang w:eastAsia="zh-Hans"/>
        </w:rPr>
        <w:t>一键执行任务，</w:t>
      </w:r>
      <w:r>
        <w:rPr>
          <w:rFonts w:hint="eastAsia" w:ascii="宋体" w:hAnsi="宋体" w:cs="宋体"/>
          <w:color w:val="auto"/>
          <w:kern w:val="0"/>
          <w:szCs w:val="21"/>
          <w:highlight w:val="none"/>
          <w:lang w:val="en-US" w:eastAsia="zh-CN"/>
        </w:rPr>
        <w:t>设备医嘱执行时</w:t>
      </w:r>
      <w:r>
        <w:rPr>
          <w:rFonts w:hint="eastAsia" w:ascii="宋体" w:hAnsi="宋体" w:cs="宋体"/>
          <w:color w:val="auto"/>
          <w:kern w:val="0"/>
          <w:szCs w:val="21"/>
          <w:highlight w:val="none"/>
          <w:lang w:eastAsia="zh-Hans"/>
        </w:rPr>
        <w:t>根据医嘱自动调节机器参数。参数</w:t>
      </w:r>
      <w:r>
        <w:rPr>
          <w:rFonts w:hint="eastAsia" w:ascii="宋体" w:hAnsi="宋体" w:cs="宋体"/>
          <w:color w:val="auto"/>
          <w:kern w:val="0"/>
          <w:szCs w:val="21"/>
          <w:highlight w:val="none"/>
          <w:lang w:val="en-US" w:eastAsia="zh-CN"/>
        </w:rPr>
        <w:t>内容包括</w:t>
      </w:r>
      <w:r>
        <w:rPr>
          <w:rFonts w:hint="eastAsia" w:ascii="宋体" w:hAnsi="宋体" w:cs="宋体"/>
          <w:color w:val="auto"/>
          <w:kern w:val="0"/>
          <w:szCs w:val="21"/>
          <w:highlight w:val="none"/>
          <w:lang w:eastAsia="zh-Hans"/>
        </w:rPr>
        <w:t>执行压力值、充放气间隔、执行时长等。</w:t>
      </w:r>
    </w:p>
    <w:p w14:paraId="12A38C95">
      <w:pPr>
        <w:numPr>
          <w:ilvl w:val="0"/>
          <w:numId w:val="3"/>
        </w:numPr>
        <w:spacing w:line="312" w:lineRule="auto"/>
        <w:ind w:left="0" w:leftChars="0" w:firstLine="420" w:firstLineChars="200"/>
        <w:rPr>
          <w:rFonts w:hint="eastAsia" w:ascii="宋体" w:hAnsi="宋体" w:cs="宋体"/>
          <w:color w:val="auto"/>
          <w:kern w:val="0"/>
          <w:szCs w:val="21"/>
          <w:highlight w:val="none"/>
          <w:lang w:eastAsia="zh-Hans"/>
        </w:rPr>
      </w:pPr>
      <w:r>
        <w:rPr>
          <w:rFonts w:hint="eastAsia" w:ascii="宋体" w:hAnsi="宋体" w:cs="宋体"/>
          <w:color w:val="auto"/>
          <w:kern w:val="0"/>
          <w:szCs w:val="21"/>
          <w:highlight w:val="none"/>
          <w:lang w:val="en-US" w:eastAsia="zh-CN"/>
        </w:rPr>
        <w:t>设备任务</w:t>
      </w:r>
      <w:r>
        <w:rPr>
          <w:rFonts w:hint="eastAsia" w:ascii="宋体" w:hAnsi="宋体" w:cs="宋体"/>
          <w:color w:val="auto"/>
          <w:kern w:val="0"/>
          <w:szCs w:val="21"/>
          <w:highlight w:val="none"/>
          <w:lang w:eastAsia="zh-Hans"/>
        </w:rPr>
        <w:t>执行监控：</w:t>
      </w:r>
      <w:r>
        <w:rPr>
          <w:rFonts w:hint="eastAsia" w:ascii="宋体" w:hAnsi="宋体" w:cs="宋体"/>
          <w:color w:val="auto"/>
          <w:kern w:val="0"/>
          <w:szCs w:val="21"/>
          <w:highlight w:val="none"/>
          <w:lang w:val="en-US" w:eastAsia="zh-CN"/>
        </w:rPr>
        <w:t>能</w:t>
      </w:r>
      <w:r>
        <w:rPr>
          <w:rFonts w:hint="eastAsia" w:ascii="宋体" w:hAnsi="宋体" w:cs="宋体"/>
          <w:color w:val="auto"/>
          <w:kern w:val="0"/>
          <w:szCs w:val="21"/>
          <w:highlight w:val="none"/>
          <w:lang w:eastAsia="zh-Hans"/>
        </w:rPr>
        <w:t>展示待执行、执行中、已完成的任务列表，</w:t>
      </w:r>
      <w:r>
        <w:rPr>
          <w:rFonts w:hint="eastAsia" w:ascii="宋体" w:hAnsi="宋体" w:cs="宋体"/>
          <w:color w:val="auto"/>
          <w:kern w:val="0"/>
          <w:szCs w:val="21"/>
          <w:highlight w:val="none"/>
          <w:lang w:val="en-US" w:eastAsia="zh-CN"/>
        </w:rPr>
        <w:t>能</w:t>
      </w:r>
      <w:r>
        <w:rPr>
          <w:rFonts w:hint="eastAsia" w:ascii="宋体" w:hAnsi="宋体" w:cs="宋体"/>
          <w:color w:val="auto"/>
          <w:kern w:val="0"/>
          <w:szCs w:val="21"/>
          <w:highlight w:val="none"/>
          <w:lang w:eastAsia="zh-Hans"/>
        </w:rPr>
        <w:t>展示设备状态监控列表</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eastAsia="zh-Hans"/>
        </w:rPr>
        <w:t>机器的使用记录</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eastAsia="zh-Hans"/>
        </w:rPr>
        <w:t>预防任务历史记录</w:t>
      </w:r>
      <w:r>
        <w:rPr>
          <w:rFonts w:hint="eastAsia" w:ascii="宋体" w:hAnsi="宋体" w:cs="宋体"/>
          <w:color w:val="auto"/>
          <w:kern w:val="0"/>
          <w:szCs w:val="21"/>
          <w:highlight w:val="none"/>
          <w:lang w:eastAsia="zh-CN"/>
        </w:rPr>
        <w:t>。</w:t>
      </w:r>
    </w:p>
    <w:p w14:paraId="1565BD4D">
      <w:pPr>
        <w:numPr>
          <w:ilvl w:val="0"/>
          <w:numId w:val="3"/>
        </w:numPr>
        <w:spacing w:line="312" w:lineRule="auto"/>
        <w:ind w:left="0" w:leftChars="0" w:firstLine="420" w:firstLineChars="200"/>
        <w:rPr>
          <w:rFonts w:hint="eastAsia" w:ascii="宋体" w:hAnsi="宋体" w:cs="宋体"/>
          <w:color w:val="auto"/>
          <w:kern w:val="0"/>
          <w:szCs w:val="21"/>
          <w:highlight w:val="none"/>
          <w:lang w:eastAsia="zh-Hans"/>
        </w:rPr>
      </w:pPr>
      <w:r>
        <w:rPr>
          <w:rFonts w:hint="eastAsia" w:ascii="宋体" w:hAnsi="宋体" w:cs="宋体"/>
          <w:color w:val="auto"/>
          <w:kern w:val="0"/>
          <w:szCs w:val="21"/>
          <w:highlight w:val="none"/>
          <w:lang w:eastAsia="zh-Hans"/>
        </w:rPr>
        <w:t>设备使用情况统计：</w:t>
      </w:r>
      <w:r>
        <w:rPr>
          <w:rFonts w:hint="eastAsia" w:ascii="宋体" w:hAnsi="宋体" w:cs="宋体"/>
          <w:color w:val="auto"/>
          <w:kern w:val="0"/>
          <w:szCs w:val="21"/>
          <w:highlight w:val="none"/>
          <w:lang w:val="en-US" w:eastAsia="zh-CN"/>
        </w:rPr>
        <w:t>能</w:t>
      </w:r>
      <w:r>
        <w:rPr>
          <w:rFonts w:hint="eastAsia" w:ascii="宋体" w:hAnsi="宋体" w:cs="宋体"/>
          <w:color w:val="auto"/>
          <w:kern w:val="0"/>
          <w:szCs w:val="21"/>
          <w:highlight w:val="none"/>
          <w:lang w:eastAsia="zh-Hans"/>
        </w:rPr>
        <w:t>统计及查看设备日均使用时长、单次预防人均等待时长、单次预防人均使用时长、医嘱下达规范率、医嘱执行规范率等。</w:t>
      </w:r>
    </w:p>
    <w:p w14:paraId="61DB0A15">
      <w:pPr>
        <w:numPr>
          <w:ilvl w:val="0"/>
          <w:numId w:val="3"/>
        </w:numPr>
        <w:spacing w:line="312" w:lineRule="auto"/>
        <w:ind w:left="0" w:leftChars="0" w:firstLine="420" w:firstLineChars="200"/>
        <w:rPr>
          <w:rFonts w:hint="eastAsia" w:ascii="宋体" w:hAnsi="宋体" w:cs="宋体"/>
          <w:color w:val="auto"/>
          <w:kern w:val="0"/>
          <w:szCs w:val="21"/>
          <w:highlight w:val="none"/>
          <w:lang w:eastAsia="zh-Hans"/>
        </w:rPr>
      </w:pPr>
      <w:r>
        <w:rPr>
          <w:rFonts w:hint="eastAsia" w:ascii="宋体" w:hAnsi="宋体" w:cs="宋体"/>
          <w:color w:val="auto"/>
          <w:kern w:val="0"/>
          <w:szCs w:val="21"/>
          <w:highlight w:val="none"/>
          <w:lang w:val="en-US" w:eastAsia="zh-CN"/>
        </w:rPr>
        <w:t>物联网</w:t>
      </w:r>
      <w:r>
        <w:rPr>
          <w:rFonts w:hint="eastAsia" w:ascii="宋体" w:hAnsi="宋体" w:cs="宋体"/>
          <w:color w:val="auto"/>
          <w:kern w:val="0"/>
          <w:szCs w:val="21"/>
          <w:highlight w:val="none"/>
          <w:lang w:eastAsia="zh-Hans"/>
        </w:rPr>
        <w:t>设备管理：支持对</w:t>
      </w:r>
      <w:r>
        <w:rPr>
          <w:rFonts w:hint="eastAsia" w:ascii="宋体" w:hAnsi="宋体" w:cs="宋体"/>
          <w:color w:val="auto"/>
          <w:kern w:val="0"/>
          <w:szCs w:val="21"/>
          <w:highlight w:val="none"/>
          <w:lang w:val="en-US" w:eastAsia="zh-CN"/>
        </w:rPr>
        <w:t>物联网IPC设备</w:t>
      </w:r>
      <w:r>
        <w:rPr>
          <w:rFonts w:hint="eastAsia" w:ascii="宋体" w:hAnsi="宋体" w:cs="宋体"/>
          <w:color w:val="auto"/>
          <w:kern w:val="0"/>
          <w:szCs w:val="21"/>
          <w:highlight w:val="none"/>
          <w:lang w:eastAsia="zh-Hans"/>
        </w:rPr>
        <w:t>进行增加、删除、修改、上下线等操作。</w:t>
      </w:r>
    </w:p>
    <w:p w14:paraId="5280543B">
      <w:pPr>
        <w:spacing w:line="312" w:lineRule="auto"/>
        <w:ind w:firstLine="422" w:firstLineChars="200"/>
        <w:rPr>
          <w:rFonts w:hint="eastAsia" w:ascii="宋体" w:hAnsi="宋体" w:cs="宋体"/>
          <w:b/>
          <w:bCs/>
          <w:color w:val="auto"/>
          <w:kern w:val="0"/>
          <w:szCs w:val="21"/>
          <w:highlight w:val="none"/>
          <w:lang w:eastAsia="zh-Hans"/>
        </w:rPr>
      </w:pPr>
      <w:r>
        <w:rPr>
          <w:rFonts w:hint="eastAsia" w:ascii="宋体" w:hAnsi="宋体" w:cs="宋体"/>
          <w:b/>
          <w:bCs/>
          <w:color w:val="auto"/>
          <w:kern w:val="0"/>
          <w:szCs w:val="21"/>
          <w:highlight w:val="none"/>
          <w:lang w:eastAsia="zh-Hans"/>
        </w:rPr>
        <w:t></w:t>
      </w:r>
      <w:r>
        <w:rPr>
          <w:rFonts w:hint="eastAsia" w:ascii="宋体" w:hAnsi="宋体" w:cs="宋体"/>
          <w:b/>
          <w:bCs/>
          <w:color w:val="auto"/>
          <w:kern w:val="0"/>
          <w:szCs w:val="21"/>
          <w:highlight w:val="none"/>
          <w:lang w:eastAsia="zh-CN"/>
        </w:rPr>
        <w:t>（</w:t>
      </w:r>
      <w:r>
        <w:rPr>
          <w:rFonts w:hint="eastAsia" w:ascii="宋体" w:hAnsi="宋体" w:cs="宋体"/>
          <w:b/>
          <w:bCs/>
          <w:color w:val="auto"/>
          <w:kern w:val="0"/>
          <w:szCs w:val="21"/>
          <w:highlight w:val="none"/>
          <w:lang w:val="en-US" w:eastAsia="zh-CN"/>
        </w:rPr>
        <w:t>3</w:t>
      </w:r>
      <w:r>
        <w:rPr>
          <w:rFonts w:hint="eastAsia" w:ascii="宋体" w:hAnsi="宋体" w:cs="宋体"/>
          <w:b/>
          <w:bCs/>
          <w:color w:val="auto"/>
          <w:kern w:val="0"/>
          <w:szCs w:val="21"/>
          <w:highlight w:val="none"/>
          <w:lang w:eastAsia="zh-CN"/>
        </w:rPr>
        <w:t>）</w:t>
      </w:r>
      <w:r>
        <w:rPr>
          <w:rFonts w:hint="eastAsia" w:ascii="宋体" w:hAnsi="宋体" w:cs="宋体"/>
          <w:b/>
          <w:bCs/>
          <w:color w:val="auto"/>
          <w:kern w:val="0"/>
          <w:szCs w:val="21"/>
          <w:highlight w:val="none"/>
          <w:lang w:eastAsia="zh-Hans"/>
        </w:rPr>
        <w:t>非</w:t>
      </w:r>
      <w:r>
        <w:rPr>
          <w:rFonts w:hint="eastAsia" w:ascii="宋体" w:hAnsi="宋体" w:cs="宋体"/>
          <w:b/>
          <w:bCs/>
          <w:color w:val="auto"/>
          <w:kern w:val="0"/>
          <w:szCs w:val="21"/>
          <w:highlight w:val="none"/>
          <w:lang w:val="en-US" w:eastAsia="zh-CN"/>
        </w:rPr>
        <w:t>联网间歇充气压力抗栓系统管理</w:t>
      </w:r>
      <w:r>
        <w:rPr>
          <w:rFonts w:hint="eastAsia" w:ascii="宋体" w:hAnsi="宋体" w:cs="宋体"/>
          <w:b/>
          <w:bCs/>
          <w:color w:val="auto"/>
          <w:kern w:val="0"/>
          <w:szCs w:val="21"/>
          <w:highlight w:val="none"/>
          <w:lang w:eastAsia="zh-Hans"/>
        </w:rPr>
        <w:t>：</w:t>
      </w:r>
    </w:p>
    <w:p w14:paraId="4432091C">
      <w:pPr>
        <w:numPr>
          <w:ilvl w:val="0"/>
          <w:numId w:val="4"/>
        </w:numPr>
        <w:spacing w:line="312" w:lineRule="auto"/>
        <w:ind w:left="0" w:leftChars="0" w:firstLine="420" w:firstLineChars="200"/>
        <w:rPr>
          <w:rFonts w:hint="eastAsia" w:ascii="宋体" w:hAnsi="宋体" w:cs="宋体"/>
          <w:color w:val="auto"/>
          <w:kern w:val="0"/>
          <w:szCs w:val="21"/>
          <w:highlight w:val="none"/>
          <w:lang w:eastAsia="zh-Hans"/>
        </w:rPr>
      </w:pPr>
      <w:r>
        <w:rPr>
          <w:rFonts w:hint="eastAsia" w:ascii="宋体" w:hAnsi="宋体" w:cs="宋体"/>
          <w:color w:val="auto"/>
          <w:kern w:val="0"/>
          <w:szCs w:val="21"/>
          <w:highlight w:val="none"/>
          <w:lang w:eastAsia="zh-Hans"/>
        </w:rPr>
        <w:t>支持移动端PDA的设备进行扫码快捷执行记录。</w:t>
      </w:r>
    </w:p>
    <w:p w14:paraId="60345410">
      <w:pPr>
        <w:numPr>
          <w:ilvl w:val="0"/>
          <w:numId w:val="4"/>
        </w:numPr>
        <w:spacing w:line="312" w:lineRule="auto"/>
        <w:ind w:left="0" w:leftChars="0" w:firstLine="420" w:firstLineChars="200"/>
        <w:rPr>
          <w:rFonts w:hint="eastAsia" w:ascii="宋体" w:hAnsi="宋体" w:cs="宋体"/>
          <w:color w:val="auto"/>
          <w:kern w:val="0"/>
          <w:szCs w:val="21"/>
          <w:highlight w:val="none"/>
          <w:lang w:eastAsia="zh-Hans"/>
        </w:rPr>
      </w:pPr>
      <w:r>
        <w:rPr>
          <w:rFonts w:hint="eastAsia" w:ascii="宋体" w:hAnsi="宋体" w:cs="宋体"/>
          <w:color w:val="auto"/>
          <w:kern w:val="0"/>
          <w:szCs w:val="21"/>
          <w:highlight w:val="none"/>
          <w:lang w:eastAsia="zh-Hans"/>
        </w:rPr>
        <w:t>支持PDA扫描腕带快速定位患者。</w:t>
      </w:r>
    </w:p>
    <w:p w14:paraId="442EC819">
      <w:pPr>
        <w:numPr>
          <w:ilvl w:val="0"/>
          <w:numId w:val="4"/>
        </w:numPr>
        <w:spacing w:line="312" w:lineRule="auto"/>
        <w:ind w:left="0" w:leftChars="0" w:firstLine="420" w:firstLineChars="200"/>
        <w:rPr>
          <w:rFonts w:hint="eastAsia" w:ascii="宋体" w:hAnsi="宋体" w:cs="宋体"/>
          <w:color w:val="auto"/>
          <w:kern w:val="0"/>
          <w:szCs w:val="21"/>
          <w:highlight w:val="none"/>
          <w:lang w:eastAsia="zh-Hans"/>
        </w:rPr>
      </w:pPr>
      <w:r>
        <w:rPr>
          <w:rFonts w:hint="eastAsia" w:ascii="宋体" w:hAnsi="宋体" w:cs="宋体"/>
          <w:color w:val="auto"/>
          <w:kern w:val="0"/>
          <w:szCs w:val="21"/>
          <w:highlight w:val="none"/>
          <w:lang w:eastAsia="zh-Hans"/>
        </w:rPr>
        <w:t>支持后台自助添加非智能设备，自动生成设备编号。</w:t>
      </w:r>
    </w:p>
    <w:p w14:paraId="0EE20449">
      <w:pPr>
        <w:numPr>
          <w:ilvl w:val="0"/>
          <w:numId w:val="4"/>
        </w:numPr>
        <w:spacing w:line="312" w:lineRule="auto"/>
        <w:ind w:left="0" w:leftChars="0" w:firstLine="420" w:firstLineChars="200"/>
        <w:rPr>
          <w:rFonts w:hint="eastAsia" w:ascii="宋体" w:hAnsi="宋体" w:cs="宋体"/>
          <w:color w:val="auto"/>
          <w:kern w:val="0"/>
          <w:szCs w:val="21"/>
          <w:highlight w:val="none"/>
          <w:lang w:eastAsia="zh-Hans"/>
        </w:rPr>
      </w:pPr>
      <w:r>
        <w:rPr>
          <w:rFonts w:hint="eastAsia" w:ascii="宋体" w:hAnsi="宋体" w:cs="宋体"/>
          <w:color w:val="auto"/>
          <w:kern w:val="0"/>
          <w:szCs w:val="21"/>
          <w:highlight w:val="none"/>
          <w:lang w:eastAsia="zh-Hans"/>
        </w:rPr>
        <w:t>支持PDA扫描机器二维码快速定位执行机器。</w:t>
      </w:r>
    </w:p>
    <w:p w14:paraId="28D47981">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rPr>
      </w:pPr>
      <w:r>
        <w:rPr>
          <w:rFonts w:hint="eastAsia" w:ascii="宋体" w:hAnsi="宋体" w:eastAsia="宋体" w:cs="宋体"/>
          <w:sz w:val="22"/>
        </w:rPr>
        <w:t>2.16★VTE评审辅助软件：基于全国VTE防治能力建设标准，全程辅助医院参与评审；</w:t>
      </w:r>
      <w:r>
        <w:rPr>
          <w:rFonts w:hint="eastAsia" w:ascii="宋体" w:hAnsi="宋体" w:eastAsia="宋体" w:cs="宋体"/>
          <w:sz w:val="22"/>
          <w:lang w:val="en-US" w:eastAsia="zh-CN"/>
        </w:rPr>
        <w:t>软件</w:t>
      </w:r>
      <w:r>
        <w:rPr>
          <w:rFonts w:hint="eastAsia" w:ascii="宋体" w:hAnsi="宋体" w:eastAsia="宋体" w:cs="宋体"/>
          <w:sz w:val="22"/>
        </w:rPr>
        <w:t>支持拆分工作流程、分配任务给具体负责人，可追踪任务进度；数字化存档任务相关文档，可追溯任务历史；按时提醒院内会议及培训，明确时间节点；</w:t>
      </w:r>
    </w:p>
    <w:p w14:paraId="02401B6D">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sz w:val="22"/>
        </w:rPr>
      </w:pPr>
      <w:r>
        <w:rPr>
          <w:rFonts w:hint="eastAsia" w:ascii="宋体" w:hAnsi="宋体" w:eastAsia="宋体" w:cs="宋体"/>
          <w:sz w:val="22"/>
        </w:rPr>
        <w:t>2.17</w:t>
      </w:r>
      <w:r>
        <w:rPr>
          <w:rFonts w:hint="eastAsia" w:ascii="宋体" w:hAnsi="宋体" w:eastAsia="宋体" w:cs="宋体"/>
          <w:b/>
          <w:bCs/>
          <w:color w:val="000000"/>
          <w:sz w:val="21"/>
          <w:szCs w:val="21"/>
          <w:highlight w:val="none"/>
          <w:lang w:val="en-US" w:eastAsia="zh-CN"/>
        </w:rPr>
        <w:t>▲</w:t>
      </w:r>
      <w:r>
        <w:rPr>
          <w:rFonts w:hint="eastAsia" w:ascii="宋体" w:hAnsi="宋体" w:eastAsia="宋体" w:cs="宋体"/>
          <w:sz w:val="22"/>
        </w:rPr>
        <w:t>院内宣教：支持添加宣教视频，可设置视频封面、标题及关联科室；配备1台宣教平板，支持主流安卓系统，患者可自动播放宣教内容、手滑翻页，系统自动管理宣教过程；支持按多维度筛选宣教记录，可展示、导出宣教相关信息。</w:t>
      </w:r>
    </w:p>
    <w:p w14:paraId="63C9F086">
      <w:pPr>
        <w:spacing w:line="312" w:lineRule="auto"/>
        <w:rPr>
          <w:rFonts w:hint="default" w:ascii="宋体" w:hAnsi="宋体" w:cs="宋体" w:eastAsiaTheme="minorEastAsia"/>
          <w:b/>
          <w:bCs/>
          <w:color w:val="auto"/>
          <w:kern w:val="0"/>
          <w:szCs w:val="21"/>
          <w:highlight w:val="none"/>
          <w:lang w:val="en-US" w:eastAsia="zh-CN"/>
        </w:rPr>
      </w:pPr>
      <w:r>
        <w:rPr>
          <w:rFonts w:hint="eastAsia" w:ascii="宋体" w:hAnsi="宋体" w:cs="宋体"/>
          <w:b/>
          <w:bCs/>
          <w:color w:val="auto"/>
          <w:kern w:val="0"/>
          <w:szCs w:val="21"/>
          <w:highlight w:val="none"/>
          <w:lang w:val="en-US" w:eastAsia="zh-CN"/>
        </w:rPr>
        <w:t>2.18.★VTE</w:t>
      </w:r>
      <w:r>
        <w:rPr>
          <w:rFonts w:hint="eastAsia" w:ascii="宋体" w:hAnsi="宋体" w:cs="宋体"/>
          <w:b/>
          <w:bCs/>
          <w:color w:val="auto"/>
          <w:kern w:val="0"/>
          <w:szCs w:val="21"/>
          <w:highlight w:val="none"/>
          <w:lang w:val="en-US" w:eastAsia="zh-Hans"/>
        </w:rPr>
        <w:t>大模型</w:t>
      </w:r>
      <w:r>
        <w:rPr>
          <w:rFonts w:hint="eastAsia" w:ascii="宋体" w:hAnsi="宋体" w:cs="宋体"/>
          <w:b/>
          <w:bCs/>
          <w:color w:val="auto"/>
          <w:kern w:val="0"/>
          <w:szCs w:val="21"/>
          <w:highlight w:val="none"/>
          <w:lang w:val="en-US" w:eastAsia="zh-CN"/>
        </w:rPr>
        <w:t>智能判断</w:t>
      </w:r>
    </w:p>
    <w:p w14:paraId="7B5DBAEB">
      <w:pPr>
        <w:spacing w:line="312" w:lineRule="auto"/>
        <w:ind w:firstLine="420" w:firstLineChars="200"/>
        <w:rPr>
          <w:rFonts w:hint="eastAsia" w:ascii="宋体" w:hAnsi="宋体" w:eastAsia="宋体" w:cs="宋体"/>
          <w:sz w:val="22"/>
        </w:rPr>
      </w:pPr>
      <w:r>
        <w:rPr>
          <w:rFonts w:hint="eastAsia" w:ascii="宋体" w:hAnsi="宋体" w:cs="宋体"/>
          <w:color w:val="auto"/>
          <w:kern w:val="0"/>
          <w:szCs w:val="21"/>
          <w:highlight w:val="none"/>
          <w:lang w:eastAsia="zh-Hans"/>
        </w:rPr>
        <w:t>提供VTE全流程智能辅助决策，DeepSeek植入融合，风险预警判断。</w:t>
      </w:r>
      <w:r>
        <w:rPr>
          <w:rFonts w:hint="eastAsia" w:ascii="宋体" w:hAnsi="宋体" w:cs="宋体"/>
          <w:color w:val="auto"/>
          <w:kern w:val="0"/>
          <w:szCs w:val="21"/>
          <w:highlight w:val="none"/>
          <w:lang w:val="en-US" w:eastAsia="zh-CN"/>
        </w:rPr>
        <w:t>支持将VTE风险评估、诊断结果自动导入DeepSeek模型进行深度分析。</w:t>
      </w:r>
    </w:p>
    <w:p w14:paraId="347EC4A7">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default" w:ascii="宋体" w:hAnsi="宋体" w:eastAsia="宋体" w:cs="宋体"/>
          <w:sz w:val="22"/>
          <w:lang w:val="en-US" w:eastAsia="zh-CN"/>
        </w:rPr>
      </w:pPr>
      <w:r>
        <w:rPr>
          <w:rFonts w:hint="eastAsia" w:ascii="宋体" w:hAnsi="宋体" w:eastAsia="宋体" w:cs="宋体"/>
          <w:sz w:val="22"/>
          <w:lang w:val="en-US" w:eastAsia="zh-CN"/>
        </w:rPr>
        <w:t>2.19软件免费维保期</w:t>
      </w:r>
      <w:r>
        <w:rPr>
          <w:rFonts w:hint="eastAsia" w:ascii="宋体" w:hAnsi="宋体" w:eastAsia="宋体" w:cs="宋体"/>
          <w:sz w:val="22"/>
        </w:rPr>
        <w:t>≥</w:t>
      </w:r>
      <w:r>
        <w:rPr>
          <w:rFonts w:hint="eastAsia" w:ascii="宋体" w:hAnsi="宋体" w:eastAsia="宋体" w:cs="宋体"/>
          <w:sz w:val="22"/>
          <w:lang w:val="en-US" w:eastAsia="zh-CN"/>
        </w:rPr>
        <w:t>1年</w:t>
      </w:r>
    </w:p>
    <w:p w14:paraId="3998BBC8">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37" w:leftChars="208" w:firstLine="0" w:firstLineChars="0"/>
        <w:jc w:val="left"/>
        <w:textAlignment w:val="auto"/>
        <w:rPr>
          <w:rFonts w:hint="default" w:ascii="宋体" w:hAnsi="宋体" w:eastAsia="宋体" w:cs="宋体"/>
          <w:sz w:val="22"/>
          <w:lang w:val="en-US" w:eastAsia="zh-CN"/>
        </w:rPr>
      </w:pPr>
      <w:r>
        <w:rPr>
          <w:rFonts w:hint="eastAsia" w:ascii="宋体" w:hAnsi="宋体" w:eastAsia="宋体" w:cs="宋体"/>
          <w:sz w:val="22"/>
          <w:lang w:val="en-US" w:eastAsia="zh-CN"/>
        </w:rPr>
        <w:t>硬件质保期</w:t>
      </w:r>
      <w:r>
        <w:rPr>
          <w:rFonts w:hint="eastAsia" w:ascii="宋体" w:hAnsi="宋体" w:eastAsia="宋体" w:cs="宋体"/>
          <w:sz w:val="22"/>
        </w:rPr>
        <w:t>≥</w:t>
      </w:r>
      <w:r>
        <w:rPr>
          <w:rFonts w:hint="eastAsia" w:ascii="宋体" w:hAnsi="宋体" w:eastAsia="宋体" w:cs="宋体"/>
          <w:sz w:val="22"/>
          <w:lang w:val="en-US" w:eastAsia="zh-CN"/>
        </w:rPr>
        <w:t>5年，易耗品除外。</w:t>
      </w:r>
    </w:p>
    <w:p w14:paraId="17261223">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left="440" w:hanging="440" w:hangingChars="200"/>
        <w:jc w:val="left"/>
        <w:textAlignment w:val="auto"/>
        <w:rPr>
          <w:rFonts w:hint="eastAsia" w:ascii="宋体" w:hAnsi="宋体" w:eastAsia="宋体" w:cs="宋体"/>
          <w:sz w:val="22"/>
        </w:rPr>
      </w:pPr>
    </w:p>
    <w:p w14:paraId="044E3992">
      <w:pPr>
        <w:keepNext w:val="0"/>
        <w:keepLines w:val="0"/>
        <w:pageBreakBefore w:val="0"/>
        <w:widowControl w:val="0"/>
        <w:kinsoku/>
        <w:wordWrap/>
        <w:overflowPunct/>
        <w:topLinePunct w:val="0"/>
        <w:autoSpaceDE/>
        <w:autoSpaceDN/>
        <w:bidi w:val="0"/>
        <w:adjustRightInd/>
        <w:snapToGrid/>
        <w:spacing w:before="120" w:after="120" w:line="288" w:lineRule="auto"/>
        <w:ind w:left="440" w:hanging="420" w:hangingChars="200"/>
        <w:jc w:val="left"/>
        <w:textAlignment w:val="auto"/>
        <w:rPr>
          <w:rFonts w:hint="eastAsia" w:ascii="宋体" w:hAnsi="宋体" w:eastAsia="宋体" w:cs="宋体"/>
        </w:rPr>
      </w:pPr>
    </w:p>
    <w:p w14:paraId="50A67721">
      <w:pPr>
        <w:keepNext w:val="0"/>
        <w:keepLines w:val="0"/>
        <w:pageBreakBefore w:val="0"/>
        <w:widowControl w:val="0"/>
        <w:kinsoku/>
        <w:wordWrap/>
        <w:overflowPunct/>
        <w:topLinePunct w:val="0"/>
        <w:autoSpaceDE/>
        <w:autoSpaceDN/>
        <w:bidi w:val="0"/>
        <w:adjustRightInd/>
        <w:snapToGrid/>
        <w:spacing w:before="120" w:after="120" w:line="288" w:lineRule="auto"/>
        <w:ind w:left="440" w:hanging="420" w:hangingChars="200"/>
        <w:jc w:val="left"/>
        <w:textAlignment w:val="auto"/>
        <w:rPr>
          <w:rFonts w:hint="eastAsia" w:ascii="宋体" w:hAnsi="宋体" w:eastAsia="宋体" w:cs="宋体"/>
        </w:rPr>
      </w:pPr>
      <w:bookmarkStart w:id="6" w:name="_GoBack"/>
      <w:bookmarkEnd w:id="6"/>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0448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0B35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C7564B"/>
    <w:multiLevelType w:val="singleLevel"/>
    <w:tmpl w:val="C6C7564B"/>
    <w:lvl w:ilvl="0" w:tentative="0">
      <w:start w:val="1"/>
      <w:numFmt w:val="decimalEnclosedCircleChinese"/>
      <w:suff w:val="nothing"/>
      <w:lvlText w:val="%1　"/>
      <w:lvlJc w:val="left"/>
      <w:pPr>
        <w:ind w:left="0" w:firstLine="400"/>
      </w:pPr>
      <w:rPr>
        <w:rFonts w:hint="eastAsia"/>
      </w:rPr>
    </w:lvl>
  </w:abstractNum>
  <w:abstractNum w:abstractNumId="1">
    <w:nsid w:val="0C84BC8D"/>
    <w:multiLevelType w:val="singleLevel"/>
    <w:tmpl w:val="0C84BC8D"/>
    <w:lvl w:ilvl="0" w:tentative="0">
      <w:start w:val="1"/>
      <w:numFmt w:val="decimal"/>
      <w:lvlText w:val="%1."/>
      <w:lvlJc w:val="left"/>
      <w:pPr>
        <w:ind w:left="425" w:hanging="425"/>
      </w:pPr>
      <w:rPr>
        <w:rFonts w:hint="default"/>
      </w:rPr>
    </w:lvl>
  </w:abstractNum>
  <w:abstractNum w:abstractNumId="2">
    <w:nsid w:val="1F54E3D1"/>
    <w:multiLevelType w:val="singleLevel"/>
    <w:tmpl w:val="1F54E3D1"/>
    <w:lvl w:ilvl="0" w:tentative="0">
      <w:start w:val="1"/>
      <w:numFmt w:val="decimalEnclosedCircleChinese"/>
      <w:suff w:val="nothing"/>
      <w:lvlText w:val="%1　"/>
      <w:lvlJc w:val="left"/>
      <w:pPr>
        <w:ind w:left="0" w:firstLine="400"/>
      </w:pPr>
      <w:rPr>
        <w:rFonts w:hint="eastAsia"/>
      </w:rPr>
    </w:lvl>
  </w:abstractNum>
  <w:abstractNum w:abstractNumId="3">
    <w:nsid w:val="3FB63742"/>
    <w:multiLevelType w:val="singleLevel"/>
    <w:tmpl w:val="3FB63742"/>
    <w:lvl w:ilvl="0" w:tentative="0">
      <w:start w:val="1"/>
      <w:numFmt w:val="decimalEnclosedCircleChinese"/>
      <w:suff w:val="nothing"/>
      <w:lvlText w:val="%1　"/>
      <w:lvlJc w:val="left"/>
      <w:pPr>
        <w:ind w:left="0" w:firstLine="400"/>
      </w:pPr>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000000"/>
    <w:rsid w:val="09212671"/>
    <w:rsid w:val="093A3733"/>
    <w:rsid w:val="0C083FBC"/>
    <w:rsid w:val="0D1150F2"/>
    <w:rsid w:val="16671406"/>
    <w:rsid w:val="35AC3230"/>
    <w:rsid w:val="38CA63D2"/>
    <w:rsid w:val="3934169D"/>
    <w:rsid w:val="3B567FF1"/>
    <w:rsid w:val="578735B4"/>
    <w:rsid w:val="59945B14"/>
    <w:rsid w:val="5C0D1BAE"/>
    <w:rsid w:val="5D503F20"/>
    <w:rsid w:val="61D2367E"/>
    <w:rsid w:val="631A52DC"/>
    <w:rsid w:val="632779F9"/>
    <w:rsid w:val="748527D2"/>
    <w:rsid w:val="770F2826"/>
    <w:rsid w:val="79E63D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5677</Words>
  <Characters>6022</Characters>
  <TotalTime>2</TotalTime>
  <ScaleCrop>false</ScaleCrop>
  <LinksUpToDate>false</LinksUpToDate>
  <CharactersWithSpaces>6026</CharactersWithSpaces>
  <Application>WPS Office_12.1.0.18276_F1E327BC-269C-435d-A152-05C5408002CA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2026-04-03T15:14:00Z</dcterms:created>
  <dc:creator>Apache POI</dc:creator>
  <cp:lastModifiedBy>赵珊珊</cp:lastModifiedBy>
  <dcterms:modified xsi:type="dcterms:W3CDTF">2026-04-08T12:14:02Z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0B99EB2A1B8F46348E4A295E5AB3C0CA_13</vt:lpwstr>
  </property>
</Properties>
</file>